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际恒锐智传播集团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</w:t>
      </w:r>
      <w:r>
        <w:rPr>
          <w:rFonts w:hint="eastAsia" w:ascii="微软雅黑" w:hAnsi="微软雅黑" w:eastAsia="微软雅黑"/>
        </w:rPr>
        <w:t>：http://gxever.com/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成立于2001年的际恒锐智，伴随着中国营销咨询行业的发展，已成为国内最大的商业营销咨询机构之一。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700+的团队：</w:t>
      </w:r>
      <w:r>
        <w:rPr>
          <w:rFonts w:hint="eastAsia" w:ascii="微软雅黑" w:hAnsi="微软雅黑" w:eastAsia="微软雅黑"/>
        </w:rPr>
        <w:t>既有资深老兵，也有年轻精英，既有在北上广一线城市分公司驻扎的专家，也有深入天南海北广阔市场的人才。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500强企业合作伙伴：</w:t>
      </w:r>
      <w:r>
        <w:rPr>
          <w:rFonts w:hint="eastAsia" w:ascii="微软雅黑" w:hAnsi="微软雅黑" w:eastAsia="微软雅黑"/>
        </w:rPr>
        <w:t>多年积累磨砺，我们收获了汽车、电商、快速消费品、IT通讯、家电、金融等行业500强企业合作伙伴。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我们致力于成为一体化的营销智能服务商（Marketing Intelligent Agency），业务内容涵盖营销当中的核心环节，并构建起独特的4维智慧：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数据维度: 包括企业营销数据的平台构建、数据收集、数据挖掘、数据分析等服务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文化维度: 为企业提供全面的品牌战略、产品战略、销售战略、渠道战略、海外传播等咨询服务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创意维度: 根据整体策略输出广告创意、活动创意、公关内容、口碑营销话题等创意物料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资源维度: 根据企业需求以及战略方向，为企业提供执行层面的包括广告购买、公关营销、线上互动营销、线下活动营销、用户口碑管理等多种营销通路的管理和执行服务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我们服务客户，但我们以用户为中心。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</w:rPr>
        <w:t>我们洞察用户的趋势、发掘用户的需求、发现用户的偏好、收集用户的习惯，同我们的客户一起，为提升广大用户的消费体验一同努力。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整合营销咨询：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品牌战略、产品战略 市场研究、危机管理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整合营销：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公关传播：</w:t>
      </w:r>
      <w:r>
        <w:rPr>
          <w:rFonts w:hint="eastAsia" w:ascii="微软雅黑" w:hAnsi="微软雅黑" w:eastAsia="微软雅黑"/>
        </w:rPr>
        <w:t>品牌管理／媒体管理新闻传播／ePR／红人管理／口碑运维／舆情监测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事件营销</w:t>
      </w:r>
      <w:r>
        <w:rPr>
          <w:rFonts w:hint="eastAsia" w:ascii="微软雅黑" w:hAnsi="微软雅黑" w:eastAsia="微软雅黑"/>
        </w:rPr>
        <w:t>：发布会／赛事／体验式活动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数字营销：</w:t>
      </w:r>
      <w:r>
        <w:rPr>
          <w:rFonts w:hint="eastAsia" w:ascii="微软雅黑" w:hAnsi="微软雅黑" w:eastAsia="微软雅黑"/>
        </w:rPr>
        <w:t>策略与创意输出／事件策划与运营／官方及领导人内容运营／粉丝运营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海外业务：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大事件传播 、海外媒体传播、名人／KOL资源、国际CSR资源、全球媒体监测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CRM：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数据库营销 、潜客培育、互动活动 、俱乐部运维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</w:t>
      </w:r>
      <w:r>
        <w:rPr>
          <w:rFonts w:ascii="微软雅黑" w:hAnsi="微软雅黑" w:eastAsia="微软雅黑"/>
        </w:rPr>
        <w:t>所获</w:t>
      </w:r>
      <w:r>
        <w:rPr>
          <w:rFonts w:hint="eastAsia" w:ascii="微软雅黑" w:hAnsi="微软雅黑" w:eastAsia="微软雅黑"/>
        </w:rPr>
        <w:t>部分</w:t>
      </w:r>
      <w:r>
        <w:rPr>
          <w:rFonts w:ascii="微软雅黑" w:hAnsi="微软雅黑" w:eastAsia="微软雅黑"/>
        </w:rPr>
        <w:t>数字营销方面荣誉：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</w:pPr>
      <w:r>
        <w:rPr>
          <w:rFonts w:ascii="微软雅黑" w:hAnsi="微软雅黑" w:eastAsia="微软雅黑"/>
          <w:b/>
        </w:rPr>
        <w:t>荣获</w:t>
      </w:r>
      <w:r>
        <w:rPr>
          <w:rFonts w:hint="eastAsia" w:ascii="微软雅黑" w:hAnsi="微软雅黑" w:eastAsia="微软雅黑"/>
          <w:b/>
          <w:bCs/>
        </w:rPr>
        <w:t>历</w:t>
      </w:r>
      <w:r>
        <w:rPr>
          <w:rFonts w:ascii="微软雅黑" w:hAnsi="微软雅黑" w:eastAsia="微软雅黑"/>
          <w:b/>
          <w:bCs/>
        </w:rPr>
        <w:t>届</w:t>
      </w:r>
      <w:r>
        <w:rPr>
          <w:rFonts w:hint="eastAsia" w:ascii="微软雅黑" w:hAnsi="微软雅黑" w:eastAsia="微软雅黑"/>
          <w:b/>
          <w:bCs/>
        </w:rPr>
        <w:t>金鼠标数字</w:t>
      </w:r>
      <w:r>
        <w:rPr>
          <w:rFonts w:ascii="微软雅黑" w:hAnsi="微软雅黑" w:eastAsia="微软雅黑"/>
          <w:b/>
          <w:bCs/>
        </w:rPr>
        <w:t>营销类</w:t>
      </w:r>
      <w:r>
        <w:rPr>
          <w:rFonts w:hint="eastAsia" w:ascii="微软雅黑" w:hAnsi="微软雅黑" w:eastAsia="微软雅黑"/>
          <w:b/>
          <w:bCs/>
        </w:rPr>
        <w:t>多</w:t>
      </w:r>
      <w:r>
        <w:rPr>
          <w:rFonts w:ascii="微软雅黑" w:hAnsi="微软雅黑" w:eastAsia="微软雅黑"/>
          <w:b/>
          <w:bCs/>
        </w:rPr>
        <w:t>项大奖</w:t>
      </w:r>
      <w:r>
        <w:rPr>
          <w:rFonts w:hint="eastAsia" w:ascii="微软雅黑" w:hAnsi="微软雅黑" w:eastAsia="微软雅黑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/>
        </w:rPr>
      </w:pPr>
      <w:r>
        <w:drawing>
          <wp:inline distT="0" distB="0" distL="114300" distR="114300">
            <wp:extent cx="3797300" cy="33401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荣获历</w:t>
      </w:r>
      <w:r>
        <w:rPr>
          <w:rFonts w:ascii="微软雅黑" w:hAnsi="微软雅黑" w:eastAsia="微软雅黑"/>
          <w:b/>
          <w:bCs/>
        </w:rPr>
        <w:t>届</w:t>
      </w:r>
      <w:r>
        <w:rPr>
          <w:rFonts w:hint="eastAsia" w:ascii="微软雅黑" w:hAnsi="微软雅黑" w:eastAsia="微软雅黑"/>
          <w:b/>
          <w:bCs/>
        </w:rPr>
        <w:t>IAI数字</w:t>
      </w:r>
      <w:r>
        <w:rPr>
          <w:rFonts w:ascii="微软雅黑" w:hAnsi="微软雅黑" w:eastAsia="微软雅黑"/>
          <w:b/>
          <w:bCs/>
        </w:rPr>
        <w:t>营销类</w:t>
      </w:r>
      <w:r>
        <w:rPr>
          <w:rFonts w:hint="eastAsia" w:ascii="微软雅黑" w:hAnsi="微软雅黑" w:eastAsia="微软雅黑"/>
          <w:b/>
          <w:bCs/>
        </w:rPr>
        <w:t>多</w:t>
      </w:r>
      <w:r>
        <w:rPr>
          <w:rFonts w:ascii="微软雅黑" w:hAnsi="微软雅黑" w:eastAsia="微软雅黑"/>
          <w:b/>
          <w:bCs/>
        </w:rPr>
        <w:t>项大奖</w:t>
      </w:r>
      <w:r>
        <w:rPr>
          <w:rFonts w:hint="eastAsia" w:ascii="微软雅黑" w:hAnsi="微软雅黑" w:eastAsia="微软雅黑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bCs/>
        </w:rPr>
      </w:pPr>
      <w:r>
        <w:drawing>
          <wp:inline distT="0" distB="0" distL="114300" distR="114300">
            <wp:extent cx="3790950" cy="3009900"/>
            <wp:effectExtent l="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荣获</w:t>
      </w:r>
      <w:r>
        <w:rPr>
          <w:rFonts w:ascii="微软雅黑" w:hAnsi="微软雅黑" w:eastAsia="微软雅黑"/>
          <w:b/>
          <w:bCs/>
        </w:rPr>
        <w:t>历届</w:t>
      </w:r>
      <w:r>
        <w:rPr>
          <w:rFonts w:hint="eastAsia" w:ascii="微软雅黑" w:hAnsi="微软雅黑" w:eastAsia="微软雅黑"/>
          <w:b/>
          <w:bCs/>
        </w:rPr>
        <w:t>艾菲奖数字</w:t>
      </w:r>
      <w:r>
        <w:rPr>
          <w:rFonts w:ascii="微软雅黑" w:hAnsi="微软雅黑" w:eastAsia="微软雅黑"/>
          <w:b/>
          <w:bCs/>
        </w:rPr>
        <w:t>营销类</w:t>
      </w:r>
      <w:r>
        <w:rPr>
          <w:rFonts w:hint="eastAsia" w:ascii="微软雅黑" w:hAnsi="微软雅黑" w:eastAsia="微软雅黑"/>
          <w:b/>
          <w:bCs/>
        </w:rPr>
        <w:t>多</w:t>
      </w:r>
      <w:r>
        <w:rPr>
          <w:rFonts w:ascii="微软雅黑" w:hAnsi="微软雅黑" w:eastAsia="微软雅黑"/>
          <w:b/>
          <w:bCs/>
        </w:rPr>
        <w:t>项大奖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drawing>
          <wp:inline distT="0" distB="0" distL="0" distR="0">
            <wp:extent cx="5100320" cy="33623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2896" cy="3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汽车类：东风日产，</w:t>
      </w:r>
      <w:r>
        <w:rPr>
          <w:rFonts w:ascii="微软雅黑" w:hAnsi="微软雅黑" w:eastAsia="微软雅黑"/>
        </w:rPr>
        <w:t>奥迪</w:t>
      </w:r>
      <w:r>
        <w:rPr>
          <w:rFonts w:hint="eastAsia" w:ascii="微软雅黑" w:hAnsi="微软雅黑" w:eastAsia="微软雅黑"/>
        </w:rPr>
        <w:t>, 英菲尼迪，大众，现代汽车、宝沃、长城，</w:t>
      </w:r>
      <w:r>
        <w:rPr>
          <w:rFonts w:ascii="微软雅黑" w:hAnsi="微软雅黑" w:eastAsia="微软雅黑"/>
        </w:rPr>
        <w:t>比亚迪</w:t>
      </w:r>
      <w:r>
        <w:rPr>
          <w:rFonts w:hint="eastAsia" w:ascii="微软雅黑" w:hAnsi="微软雅黑" w:eastAsia="微软雅黑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互联网：爱奇艺，大麦，大文娱、阿里、支付宝，</w:t>
      </w:r>
      <w:r>
        <w:rPr>
          <w:rFonts w:ascii="微软雅黑" w:hAnsi="微软雅黑" w:eastAsia="微软雅黑"/>
        </w:rPr>
        <w:t>腾讯</w:t>
      </w:r>
      <w:r>
        <w:rPr>
          <w:rFonts w:hint="eastAsia" w:ascii="微软雅黑" w:hAnsi="微软雅黑" w:eastAsia="微软雅黑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快消类：蒙牛，红牛，李宁，德邦等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3C类： 华为，中国联通，OPPO，</w:t>
      </w:r>
      <w:r>
        <w:rPr>
          <w:rFonts w:ascii="微软雅黑" w:hAnsi="微软雅黑" w:eastAsia="微软雅黑"/>
        </w:rPr>
        <w:t>三星</w:t>
      </w:r>
      <w:r>
        <w:rPr>
          <w:rFonts w:hint="eastAsia" w:ascii="微软雅黑" w:hAnsi="微软雅黑" w:eastAsia="微软雅黑"/>
        </w:rPr>
        <w:t>,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小米，LG等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文</w:t>
      </w:r>
      <w:r>
        <w:rPr>
          <w:rFonts w:ascii="微软雅黑" w:hAnsi="微软雅黑" w:eastAsia="微软雅黑"/>
        </w:rPr>
        <w:t>创类：</w:t>
      </w:r>
      <w:r>
        <w:rPr>
          <w:rFonts w:hint="eastAsia" w:ascii="微软雅黑" w:hAnsi="微软雅黑" w:eastAsia="微软雅黑"/>
        </w:rPr>
        <w:t>万</w:t>
      </w:r>
      <w:r>
        <w:rPr>
          <w:rFonts w:ascii="微软雅黑" w:hAnsi="微软雅黑" w:eastAsia="微软雅黑"/>
        </w:rPr>
        <w:t>达集团，东方园林等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多年来为以上等客户提供整合营销服务。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16124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12F5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16F095C"/>
    <w:rsid w:val="18FE29CF"/>
    <w:rsid w:val="27C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Char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Char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4D8934-3A96-43A3-9DFD-AA4770EE9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900</Words>
  <Characters>966</Characters>
  <Lines>10</Lines>
  <Paragraphs>2</Paragraphs>
  <TotalTime>315</TotalTime>
  <ScaleCrop>false</ScaleCrop>
  <LinksUpToDate>false</LinksUpToDate>
  <CharactersWithSpaces>982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王阳</cp:lastModifiedBy>
  <cp:lastPrinted>2013-11-12T01:54:00Z</cp:lastPrinted>
  <dcterms:modified xsi:type="dcterms:W3CDTF">2023-02-12T12:29:45Z</dcterms:modified>
  <dc:title>No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8C5234F248334642A74C1EAEF411D0BB</vt:lpwstr>
  </property>
</Properties>
</file>