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before="240" w:beforeLines="100" w:after="240" w:afterLines="100"/>
        <w:jc w:val="center"/>
        <w:textAlignment w:val="baseline"/>
        <w:rPr>
          <w:rFonts w:ascii="微软雅黑" w:hAnsi="微软雅黑" w:eastAsia="微软雅黑" w:cs="Times New Roman"/>
          <w:b/>
          <w:sz w:val="32"/>
          <w:szCs w:val="32"/>
        </w:rPr>
      </w:pPr>
      <w:r>
        <w:rPr>
          <w:rFonts w:hint="eastAsia" w:ascii="微软雅黑" w:hAnsi="微软雅黑" w:eastAsia="微软雅黑" w:cs="Times New Roman"/>
          <w:b/>
          <w:sz w:val="32"/>
          <w:szCs w:val="32"/>
        </w:rPr>
        <w:t>度晓晓化身惊喜官送好礼，百度“有惊喜”活动种拔草一体化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ascii="微软雅黑" w:hAnsi="微软雅黑" w:eastAsia="微软雅黑"/>
          <w:color w:val="000000"/>
          <w:sz w:val="21"/>
          <w:szCs w:val="21"/>
        </w:rPr>
        <w:t>自然堂、薇诺娜、倩碧、雅诗兰黛、悦木之源、兰蔻、阿玛尼</w:t>
      </w:r>
      <w:r>
        <w:rPr>
          <w:rFonts w:hint="eastAsia" w:ascii="微软雅黑" w:hAnsi="微软雅黑" w:eastAsia="微软雅黑"/>
          <w:color w:val="000000"/>
          <w:sz w:val="21"/>
          <w:szCs w:val="21"/>
        </w:rPr>
        <w:t>、</w:t>
      </w:r>
      <w:r>
        <w:rPr>
          <w:rFonts w:ascii="微软雅黑" w:hAnsi="微软雅黑" w:eastAsia="微软雅黑"/>
          <w:color w:val="000000"/>
          <w:sz w:val="21"/>
          <w:szCs w:val="21"/>
        </w:rPr>
        <w:t>希思黎、娇韵诗、科颜氏、植村秀、祖玛珑</w:t>
      </w:r>
      <w:r>
        <w:rPr>
          <w:rFonts w:hint="eastAsia" w:ascii="微软雅黑" w:hAnsi="微软雅黑" w:eastAsia="微软雅黑"/>
          <w:color w:val="000000"/>
          <w:sz w:val="21"/>
          <w:szCs w:val="21"/>
        </w:rPr>
        <w:t>、</w:t>
      </w:r>
      <w:r>
        <w:rPr>
          <w:rFonts w:ascii="微软雅黑" w:hAnsi="微软雅黑" w:eastAsia="微软雅黑"/>
          <w:color w:val="000000"/>
          <w:sz w:val="21"/>
          <w:szCs w:val="21"/>
        </w:rPr>
        <w:t>东易日盛、马可波罗、我爱我家、土巴兔、tata木门、欧派</w:t>
      </w:r>
      <w:r>
        <w:rPr>
          <w:rFonts w:hint="eastAsia" w:ascii="微软雅黑" w:hAnsi="微软雅黑" w:eastAsia="微软雅黑"/>
          <w:color w:val="000000"/>
          <w:sz w:val="21"/>
          <w:szCs w:val="21"/>
        </w:rPr>
        <w:t>、</w:t>
      </w:r>
      <w:r>
        <w:rPr>
          <w:rFonts w:ascii="微软雅黑" w:hAnsi="微软雅黑" w:eastAsia="微软雅黑"/>
          <w:color w:val="000000"/>
          <w:sz w:val="21"/>
          <w:szCs w:val="21"/>
        </w:rPr>
        <w:t>福特锐界</w:t>
      </w:r>
      <w:r>
        <w:rPr>
          <w:rFonts w:ascii="微软雅黑" w:hAnsi="微软雅黑" w:eastAsia="微软雅黑"/>
          <w:color w:val="222222"/>
          <w:sz w:val="21"/>
          <w:szCs w:val="21"/>
        </w:rPr>
        <w:t>、</w:t>
      </w:r>
      <w:r>
        <w:rPr>
          <w:rFonts w:ascii="微软雅黑" w:hAnsi="微软雅黑" w:eastAsia="微软雅黑"/>
          <w:color w:val="000000"/>
          <w:sz w:val="21"/>
          <w:szCs w:val="21"/>
        </w:rPr>
        <w:t>皓影</w:t>
      </w:r>
      <w:r>
        <w:rPr>
          <w:rFonts w:ascii="微软雅黑" w:hAnsi="微软雅黑" w:eastAsia="微软雅黑"/>
          <w:color w:val="222222"/>
          <w:sz w:val="21"/>
          <w:szCs w:val="21"/>
        </w:rPr>
        <w:t>、</w:t>
      </w:r>
      <w:r>
        <w:rPr>
          <w:rFonts w:ascii="微软雅黑" w:hAnsi="微软雅黑" w:eastAsia="微软雅黑"/>
          <w:color w:val="000000"/>
          <w:sz w:val="21"/>
          <w:szCs w:val="21"/>
        </w:rPr>
        <w:t>坦克500</w:t>
      </w:r>
      <w:r>
        <w:rPr>
          <w:rFonts w:ascii="微软雅黑" w:hAnsi="微软雅黑" w:eastAsia="微软雅黑"/>
          <w:color w:val="222222"/>
          <w:sz w:val="21"/>
          <w:szCs w:val="21"/>
        </w:rPr>
        <w:t>、</w:t>
      </w:r>
      <w:r>
        <w:rPr>
          <w:rFonts w:ascii="微软雅黑" w:hAnsi="微软雅黑" w:eastAsia="微软雅黑"/>
          <w:color w:val="000000"/>
          <w:sz w:val="21"/>
          <w:szCs w:val="21"/>
        </w:rPr>
        <w:t>林肯Z</w:t>
      </w:r>
      <w:r>
        <w:rPr>
          <w:rFonts w:hint="eastAsia" w:ascii="微软雅黑" w:hAnsi="微软雅黑" w:eastAsia="微软雅黑"/>
          <w:color w:val="000000"/>
          <w:sz w:val="21"/>
          <w:szCs w:val="21"/>
        </w:rPr>
        <w:t>等2</w:t>
      </w:r>
      <w:r>
        <w:rPr>
          <w:rFonts w:ascii="微软雅黑" w:hAnsi="微软雅黑" w:eastAsia="微软雅黑"/>
          <w:color w:val="000000"/>
          <w:sz w:val="21"/>
          <w:szCs w:val="21"/>
        </w:rPr>
        <w:t>2</w:t>
      </w:r>
      <w:r>
        <w:rPr>
          <w:rFonts w:hint="eastAsia" w:ascii="微软雅黑" w:hAnsi="微软雅黑" w:eastAsia="微软雅黑"/>
          <w:color w:val="000000"/>
          <w:sz w:val="21"/>
          <w:szCs w:val="21"/>
        </w:rPr>
        <w:t>个品牌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：美妆护肤、家装、汽车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：20</w:t>
      </w:r>
      <w:r>
        <w:rPr>
          <w:rFonts w:ascii="微软雅黑" w:hAnsi="微软雅黑" w:eastAsia="微软雅黑"/>
          <w:sz w:val="21"/>
          <w:szCs w:val="21"/>
        </w:rPr>
        <w:t>22</w:t>
      </w:r>
      <w:r>
        <w:rPr>
          <w:rFonts w:hint="eastAsia" w:ascii="微软雅黑" w:hAnsi="微软雅黑" w:eastAsia="微软雅黑"/>
          <w:sz w:val="21"/>
          <w:szCs w:val="21"/>
        </w:rPr>
        <w:t>.0</w:t>
      </w:r>
      <w:r>
        <w:rPr>
          <w:rFonts w:ascii="微软雅黑" w:hAnsi="微软雅黑" w:eastAsia="微软雅黑"/>
          <w:sz w:val="21"/>
          <w:szCs w:val="21"/>
        </w:rPr>
        <w:t>7.27</w:t>
      </w:r>
      <w:r>
        <w:rPr>
          <w:rFonts w:hint="eastAsia" w:ascii="微软雅黑" w:hAnsi="微软雅黑" w:eastAsia="微软雅黑"/>
          <w:sz w:val="21"/>
          <w:szCs w:val="21"/>
        </w:rPr>
        <w:t>-1</w:t>
      </w:r>
      <w:r>
        <w:rPr>
          <w:rFonts w:ascii="微软雅黑" w:hAnsi="微软雅黑" w:eastAsia="微软雅黑"/>
          <w:sz w:val="21"/>
          <w:szCs w:val="21"/>
        </w:rPr>
        <w:t>0.26</w:t>
      </w:r>
    </w:p>
    <w:p>
      <w:pPr>
        <w:spacing w:after="24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sz w:val="21"/>
          <w:szCs w:val="21"/>
        </w:rPr>
        <w:t>：创意传播类</w:t>
      </w:r>
      <w:bookmarkStart w:id="0" w:name="_GoBack"/>
      <w:bookmarkEnd w:id="0"/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多年来，互联网公司持续加码搜索，</w:t>
      </w:r>
      <w:r>
        <w:rPr>
          <w:rFonts w:ascii="微软雅黑" w:hAnsi="微软雅黑" w:eastAsia="微软雅黑"/>
          <w:b/>
          <w:bCs/>
          <w:sz w:val="21"/>
          <w:szCs w:val="21"/>
        </w:rPr>
        <w:t>探索搜索商业化路径</w:t>
      </w:r>
      <w:r>
        <w:rPr>
          <w:rFonts w:ascii="微软雅黑" w:hAnsi="微软雅黑" w:eastAsia="微软雅黑"/>
          <w:sz w:val="21"/>
          <w:szCs w:val="21"/>
        </w:rPr>
        <w:t>。据CTR《2022年搜索营销预算趋势报告》显示，互联网大厂均有布局搜索广告，搜索、信息流、短视频、直播广告成为品牌的主要互联网广告投放类型。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虽然搜索流量巨大，但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如何让流量形成闭环</w:t>
      </w:r>
      <w:r>
        <w:rPr>
          <w:rFonts w:hint="eastAsia" w:ascii="微软雅黑" w:hAnsi="微软雅黑" w:eastAsia="微软雅黑"/>
          <w:sz w:val="21"/>
          <w:szCs w:val="21"/>
        </w:rPr>
        <w:t>，是各平台需要突破的难点。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立足于搜索带来的庞大用户基数和丰富场景入口，百度已然成为众多品牌首选的营销阵地。在搜索商业化探索上，百度持续进行创新，将</w:t>
      </w:r>
      <w:r>
        <w:rPr>
          <w:rFonts w:ascii="微软雅黑" w:hAnsi="微软雅黑" w:eastAsia="微软雅黑"/>
          <w:b/>
          <w:bCs/>
          <w:sz w:val="21"/>
          <w:szCs w:val="21"/>
        </w:rPr>
        <w:t>内容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+</w:t>
      </w:r>
      <w:r>
        <w:rPr>
          <w:rFonts w:ascii="微软雅黑" w:hAnsi="微软雅黑" w:eastAsia="微软雅黑"/>
          <w:b/>
          <w:bCs/>
          <w:sz w:val="21"/>
          <w:szCs w:val="21"/>
        </w:rPr>
        <w:t>服务</w:t>
      </w:r>
      <w:r>
        <w:rPr>
          <w:rFonts w:ascii="微软雅黑" w:hAnsi="微软雅黑" w:eastAsia="微软雅黑"/>
          <w:sz w:val="21"/>
          <w:szCs w:val="21"/>
        </w:rPr>
        <w:t>融入搜索生态，帮助品牌打造</w:t>
      </w:r>
      <w:r>
        <w:rPr>
          <w:rFonts w:ascii="微软雅黑" w:hAnsi="微软雅黑" w:eastAsia="微软雅黑"/>
          <w:b/>
          <w:bCs/>
          <w:sz w:val="21"/>
          <w:szCs w:val="21"/>
        </w:rPr>
        <w:t>从引流到变现的商业闭环</w:t>
      </w:r>
      <w:r>
        <w:rPr>
          <w:rFonts w:ascii="微软雅黑" w:hAnsi="微软雅黑" w:eastAsia="微软雅黑"/>
          <w:sz w:val="21"/>
          <w:szCs w:val="21"/>
        </w:rPr>
        <w:t>，构建“品效销合一”的全生态营销链路，挖掘增长新机遇。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A</w:t>
      </w:r>
      <w:r>
        <w:rPr>
          <w:rFonts w:ascii="微软雅黑" w:hAnsi="微软雅黑" w:eastAsia="微软雅黑"/>
          <w:sz w:val="21"/>
          <w:szCs w:val="21"/>
        </w:rPr>
        <w:t>I</w:t>
      </w:r>
      <w:r>
        <w:rPr>
          <w:rFonts w:hint="eastAsia" w:ascii="微软雅黑" w:hAnsi="微软雅黑" w:eastAsia="微软雅黑"/>
          <w:sz w:val="21"/>
          <w:szCs w:val="21"/>
        </w:rPr>
        <w:t>时代来临，表达产品和服务需求的核心场景，也是AI人工智能技术应用最为成熟的场景。以搜索为核心的百度营销生态，是企业跨入AI营销时代的第一站。百度营销也通过搜索这一核心场景延展出了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私域、电商、元宇宙</w:t>
      </w:r>
      <w:r>
        <w:rPr>
          <w:rFonts w:hint="eastAsia" w:ascii="微软雅黑" w:hAnsi="微软雅黑" w:eastAsia="微软雅黑"/>
          <w:sz w:val="21"/>
          <w:szCs w:val="21"/>
        </w:rPr>
        <w:t>等多元化品牌经营场景，为企业提供全链路、全场景的解决方案。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营销目标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百度每一个用户</w:t>
      </w:r>
      <w:r>
        <w:rPr>
          <w:rFonts w:ascii="微软雅黑" w:hAnsi="微软雅黑" w:eastAsia="微软雅黑"/>
          <w:b/>
          <w:bCs/>
          <w:sz w:val="21"/>
          <w:szCs w:val="21"/>
        </w:rPr>
        <w:t>主动搜索</w:t>
      </w:r>
      <w:r>
        <w:rPr>
          <w:rFonts w:ascii="微软雅黑" w:hAnsi="微软雅黑" w:eastAsia="微软雅黑"/>
          <w:sz w:val="21"/>
          <w:szCs w:val="21"/>
        </w:rPr>
        <w:t>背后，都蕴藏着</w:t>
      </w:r>
      <w:r>
        <w:rPr>
          <w:rFonts w:ascii="微软雅黑" w:hAnsi="微软雅黑" w:eastAsia="微软雅黑"/>
          <w:b/>
          <w:bCs/>
          <w:sz w:val="21"/>
          <w:szCs w:val="21"/>
        </w:rPr>
        <w:t>真实需求</w:t>
      </w:r>
      <w:r>
        <w:rPr>
          <w:rFonts w:ascii="微软雅黑" w:hAnsi="微软雅黑" w:eastAsia="微软雅黑"/>
          <w:sz w:val="21"/>
          <w:szCs w:val="21"/>
        </w:rPr>
        <w:t>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C</w:t>
      </w:r>
      <w:r>
        <w:rPr>
          <w:rFonts w:hint="eastAsia" w:ascii="微软雅黑" w:hAnsi="微软雅黑" w:eastAsia="微软雅黑"/>
          <w:sz w:val="21"/>
          <w:szCs w:val="21"/>
        </w:rPr>
        <w:t>端：</w:t>
      </w:r>
      <w:r>
        <w:rPr>
          <w:rFonts w:ascii="微软雅黑" w:hAnsi="微软雅黑" w:eastAsia="微软雅黑"/>
          <w:sz w:val="21"/>
          <w:szCs w:val="21"/>
        </w:rPr>
        <w:t>百度希望不仅能满足用户搜索背后的服务需求，还能进一步满足用户从找“内容”到找“内容+服务”的需求升级。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B</w:t>
      </w:r>
      <w:r>
        <w:rPr>
          <w:rFonts w:hint="eastAsia" w:ascii="微软雅黑" w:hAnsi="微软雅黑" w:eastAsia="微软雅黑"/>
          <w:sz w:val="21"/>
          <w:szCs w:val="21"/>
        </w:rPr>
        <w:t>端：</w:t>
      </w:r>
      <w:r>
        <w:rPr>
          <w:rFonts w:ascii="微软雅黑" w:hAnsi="微软雅黑" w:eastAsia="微软雅黑"/>
          <w:sz w:val="21"/>
          <w:szCs w:val="21"/>
        </w:rPr>
        <w:t>百度希望</w:t>
      </w:r>
      <w:r>
        <w:rPr>
          <w:rFonts w:hint="eastAsia" w:ascii="微软雅黑" w:hAnsi="微软雅黑" w:eastAsia="微软雅黑"/>
          <w:sz w:val="21"/>
          <w:szCs w:val="21"/>
        </w:rPr>
        <w:t>帮助企业营造</w:t>
      </w:r>
      <w:r>
        <w:rPr>
          <w:rFonts w:ascii="微软雅黑" w:hAnsi="微软雅黑" w:eastAsia="微软雅黑"/>
          <w:sz w:val="21"/>
          <w:szCs w:val="21"/>
        </w:rPr>
        <w:t>新场景，</w:t>
      </w:r>
      <w:r>
        <w:rPr>
          <w:rFonts w:hint="eastAsia" w:ascii="微软雅黑" w:hAnsi="微软雅黑" w:eastAsia="微软雅黑"/>
          <w:sz w:val="21"/>
          <w:szCs w:val="21"/>
        </w:rPr>
        <w:t>协同</w:t>
      </w:r>
      <w:r>
        <w:rPr>
          <w:rFonts w:ascii="微软雅黑" w:hAnsi="微软雅黑" w:eastAsia="微软雅黑"/>
          <w:sz w:val="21"/>
          <w:szCs w:val="21"/>
        </w:rPr>
        <w:t>企业构建自身的新阵地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既要做好销售转化，更要做好品牌建设，让企业</w:t>
      </w:r>
      <w:r>
        <w:rPr>
          <w:rFonts w:hint="eastAsia" w:ascii="微软雅黑" w:hAnsi="微软雅黑" w:eastAsia="微软雅黑"/>
          <w:sz w:val="21"/>
          <w:szCs w:val="21"/>
        </w:rPr>
        <w:t>营销</w:t>
      </w:r>
      <w:r>
        <w:rPr>
          <w:rFonts w:ascii="微软雅黑" w:hAnsi="微软雅黑" w:eastAsia="微软雅黑"/>
          <w:sz w:val="21"/>
          <w:szCs w:val="21"/>
        </w:rPr>
        <w:t>实现真正意义上的品效合一。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通过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创意+A</w:t>
      </w:r>
      <w:r>
        <w:rPr>
          <w:rFonts w:ascii="微软雅黑" w:hAnsi="微软雅黑" w:eastAsia="微软雅黑"/>
          <w:b/>
          <w:bCs/>
          <w:sz w:val="21"/>
          <w:szCs w:val="21"/>
        </w:rPr>
        <w:t>I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技术</w:t>
      </w:r>
      <w:r>
        <w:rPr>
          <w:rFonts w:hint="eastAsia" w:ascii="微软雅黑" w:hAnsi="微软雅黑" w:eastAsia="微软雅黑"/>
          <w:sz w:val="21"/>
          <w:szCs w:val="21"/>
        </w:rPr>
        <w:t>的赋能，让更多用户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愿意搜、愿意看、愿意参与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策略与创意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打造“有惊喜”I</w:t>
      </w:r>
      <w:r>
        <w:rPr>
          <w:rFonts w:ascii="微软雅黑" w:hAnsi="微软雅黑" w:eastAsia="微软雅黑"/>
          <w:b/>
          <w:bCs/>
          <w:sz w:val="21"/>
          <w:szCs w:val="21"/>
        </w:rPr>
        <w:t>P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系列活动。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策略：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1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sz w:val="21"/>
          <w:szCs w:val="21"/>
        </w:rPr>
        <w:t>打造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“营销漏斗</w:t>
      </w:r>
      <w:r>
        <w:rPr>
          <w:rFonts w:hint="eastAsia" w:ascii="微软雅黑" w:hAnsi="微软雅黑" w:eastAsia="微软雅黑"/>
          <w:sz w:val="21"/>
          <w:szCs w:val="21"/>
        </w:rPr>
        <w:t>”，依托百度搜索的巨大流量，以及数字人创新交互模式，通过“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搜索</w:t>
      </w:r>
      <w:r>
        <w:rPr>
          <w:rFonts w:ascii="微软雅黑" w:hAnsi="微软雅黑" w:eastAsia="微软雅黑"/>
          <w:b/>
          <w:bCs/>
          <w:sz w:val="21"/>
          <w:szCs w:val="21"/>
        </w:rPr>
        <w:t>+品牌+话题</w:t>
      </w:r>
      <w:r>
        <w:rPr>
          <w:rFonts w:ascii="微软雅黑" w:hAnsi="微软雅黑" w:eastAsia="微软雅黑"/>
          <w:sz w:val="21"/>
          <w:szCs w:val="21"/>
        </w:rPr>
        <w:t>”的营销玩法，引导域内用户讨论分享、域外用户主动搜索</w:t>
      </w:r>
      <w:r>
        <w:rPr>
          <w:rFonts w:hint="eastAsia" w:ascii="微软雅黑" w:hAnsi="微软雅黑" w:eastAsia="微软雅黑"/>
          <w:sz w:val="21"/>
          <w:szCs w:val="21"/>
        </w:rPr>
        <w:t>，从而实现</w:t>
      </w:r>
      <w:r>
        <w:rPr>
          <w:rFonts w:ascii="微软雅黑" w:hAnsi="微软雅黑" w:eastAsia="微软雅黑"/>
          <w:sz w:val="21"/>
          <w:szCs w:val="21"/>
        </w:rPr>
        <w:t>用户关注、参与及传播裂变。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2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.</w:t>
      </w:r>
      <w:r>
        <w:rPr>
          <w:rFonts w:ascii="微软雅黑" w:hAnsi="微软雅黑" w:eastAsia="微软雅黑"/>
          <w:sz w:val="21"/>
          <w:szCs w:val="21"/>
        </w:rPr>
        <w:t>通过</w:t>
      </w:r>
      <w:r>
        <w:rPr>
          <w:rFonts w:ascii="微软雅黑" w:hAnsi="微软雅黑" w:eastAsia="微软雅黑"/>
          <w:b/>
          <w:bCs/>
          <w:sz w:val="21"/>
          <w:szCs w:val="21"/>
        </w:rPr>
        <w:t>关键词搜索</w:t>
      </w:r>
      <w:r>
        <w:rPr>
          <w:rFonts w:ascii="微软雅黑" w:hAnsi="微软雅黑" w:eastAsia="微软雅黑"/>
          <w:sz w:val="21"/>
          <w:szCs w:val="21"/>
        </w:rPr>
        <w:t>，</w:t>
      </w:r>
      <w:r>
        <w:rPr>
          <w:rFonts w:hint="eastAsia" w:ascii="微软雅黑" w:hAnsi="微软雅黑" w:eastAsia="微软雅黑"/>
          <w:sz w:val="21"/>
          <w:szCs w:val="21"/>
        </w:rPr>
        <w:t>百度</w:t>
      </w:r>
      <w:r>
        <w:rPr>
          <w:rFonts w:ascii="微软雅黑" w:hAnsi="微软雅黑" w:eastAsia="微软雅黑"/>
          <w:sz w:val="21"/>
          <w:szCs w:val="21"/>
        </w:rPr>
        <w:t>挖掘出用户搜索背后的真正需求，将用户吸引到品牌专区的小程序或官网，促进搜索行为转化为交易行为，并</w:t>
      </w:r>
      <w:r>
        <w:rPr>
          <w:rFonts w:hint="eastAsia" w:ascii="微软雅黑" w:hAnsi="微软雅黑" w:eastAsia="微软雅黑"/>
          <w:sz w:val="21"/>
          <w:szCs w:val="21"/>
        </w:rPr>
        <w:t>通过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A</w:t>
      </w:r>
      <w:r>
        <w:rPr>
          <w:rFonts w:ascii="微软雅黑" w:hAnsi="微软雅黑" w:eastAsia="微软雅黑"/>
          <w:b/>
          <w:bCs/>
          <w:sz w:val="21"/>
          <w:szCs w:val="21"/>
        </w:rPr>
        <w:t>IA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全营销价值度量体系，</w:t>
      </w:r>
      <w:r>
        <w:rPr>
          <w:rFonts w:ascii="微软雅黑" w:hAnsi="微软雅黑" w:eastAsia="微软雅黑"/>
          <w:sz w:val="21"/>
          <w:szCs w:val="21"/>
        </w:rPr>
        <w:t>实现全链路数据度量，进行精准</w:t>
      </w:r>
      <w:r>
        <w:rPr>
          <w:rFonts w:hint="eastAsia" w:ascii="微软雅黑" w:hAnsi="微软雅黑" w:eastAsia="微软雅黑"/>
          <w:sz w:val="21"/>
          <w:szCs w:val="21"/>
        </w:rPr>
        <w:t>分析并</w:t>
      </w:r>
      <w:r>
        <w:rPr>
          <w:rFonts w:ascii="微软雅黑" w:hAnsi="微软雅黑" w:eastAsia="微软雅黑"/>
          <w:sz w:val="21"/>
          <w:szCs w:val="21"/>
        </w:rPr>
        <w:t>复投，助力品牌的客户资产精准运营与转化。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创意：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1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sz w:val="21"/>
          <w:szCs w:val="21"/>
        </w:rPr>
        <w:t>以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「有惊喜」</w:t>
      </w:r>
      <w:r>
        <w:rPr>
          <w:rFonts w:hint="eastAsia" w:ascii="微软雅黑" w:hAnsi="微软雅黑" w:eastAsia="微软雅黑"/>
          <w:sz w:val="21"/>
          <w:szCs w:val="21"/>
        </w:rPr>
        <w:t>（品牌发福利）为创意理念，以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「轻互动」形式</w:t>
      </w:r>
      <w:r>
        <w:rPr>
          <w:rFonts w:hint="eastAsia" w:ascii="微软雅黑" w:hAnsi="微软雅黑" w:eastAsia="微软雅黑"/>
          <w:sz w:val="21"/>
          <w:szCs w:val="21"/>
        </w:rPr>
        <w:t>紧密链接品牌与用户。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2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sz w:val="21"/>
          <w:szCs w:val="21"/>
        </w:rPr>
        <w:t>持续打造系列活动</w:t>
      </w:r>
      <w:r>
        <w:rPr>
          <w:rFonts w:ascii="微软雅黑" w:hAnsi="微软雅黑" w:eastAsia="微软雅黑"/>
          <w:sz w:val="21"/>
          <w:szCs w:val="21"/>
        </w:rPr>
        <w:t>，留存老用户的同时吸引新用户参与，形成</w:t>
      </w:r>
      <w:r>
        <w:rPr>
          <w:rFonts w:ascii="微软雅黑" w:hAnsi="微软雅黑" w:eastAsia="微软雅黑"/>
          <w:b/>
          <w:bCs/>
          <w:sz w:val="21"/>
          <w:szCs w:val="21"/>
        </w:rPr>
        <w:t>滚雪球效应</w:t>
      </w:r>
      <w:r>
        <w:rPr>
          <w:rFonts w:ascii="微软雅黑" w:hAnsi="微软雅黑" w:eastAsia="微软雅黑"/>
          <w:sz w:val="21"/>
          <w:szCs w:val="21"/>
        </w:rPr>
        <w:t>，不断提升IP号召力和用户黏性，助力品牌及产品的传播和用户的破圈。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3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.</w:t>
      </w:r>
      <w:r>
        <w:rPr>
          <w:rFonts w:ascii="微软雅黑" w:hAnsi="微软雅黑" w:eastAsia="微软雅黑"/>
          <w:sz w:val="21"/>
          <w:szCs w:val="21"/>
        </w:rPr>
        <w:t>基于活动IP所积累的用户价值，</w:t>
      </w:r>
      <w:r>
        <w:rPr>
          <w:rFonts w:hint="eastAsia" w:ascii="微软雅黑" w:hAnsi="微软雅黑" w:eastAsia="微软雅黑"/>
          <w:sz w:val="21"/>
          <w:szCs w:val="21"/>
        </w:rPr>
        <w:t>深入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美妆、家装、汽车</w:t>
      </w:r>
      <w:r>
        <w:rPr>
          <w:rFonts w:hint="eastAsia" w:ascii="微软雅黑" w:hAnsi="微软雅黑" w:eastAsia="微软雅黑"/>
          <w:sz w:val="21"/>
          <w:szCs w:val="21"/>
        </w:rPr>
        <w:t>等不同行业，联动业内多个头部品牌，形成强劲影响力为活动加持，卷入更多潜在用户参与，实现用户资产沉淀与转化。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执行过程/媒体表现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1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“有惊喜”I</w:t>
      </w:r>
      <w:r>
        <w:rPr>
          <w:rFonts w:ascii="微软雅黑" w:hAnsi="微软雅黑" w:eastAsia="微软雅黑"/>
          <w:b/>
          <w:bCs/>
          <w:sz w:val="21"/>
          <w:szCs w:val="21"/>
        </w:rPr>
        <w:t>P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强势曝光，多行业多品牌联动促认知扩增量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百度“有惊喜”I</w:t>
      </w:r>
      <w:r>
        <w:rPr>
          <w:rFonts w:ascii="微软雅黑" w:hAnsi="微软雅黑" w:eastAsia="微软雅黑"/>
          <w:sz w:val="21"/>
          <w:szCs w:val="21"/>
        </w:rPr>
        <w:t>P</w:t>
      </w:r>
      <w:r>
        <w:rPr>
          <w:rFonts w:hint="eastAsia" w:ascii="微软雅黑" w:hAnsi="微软雅黑" w:eastAsia="微软雅黑"/>
          <w:sz w:val="21"/>
          <w:szCs w:val="21"/>
        </w:rPr>
        <w:t>活动巧妙设置两条通路吸引用户关注，帮助活动及参与活动的品牌挖掘人群增量。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通路一：百度</w:t>
      </w:r>
      <w:r>
        <w:rPr>
          <w:rFonts w:ascii="微软雅黑" w:hAnsi="微软雅黑" w:eastAsia="微软雅黑"/>
          <w:b/>
          <w:bCs/>
          <w:sz w:val="21"/>
          <w:szCs w:val="21"/>
        </w:rPr>
        <w:t>AI数字人度晓晓化身好物推荐官，带领用户穿越虚拟与现实。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进入百度</w:t>
      </w:r>
      <w:r>
        <w:rPr>
          <w:rFonts w:ascii="微软雅黑" w:hAnsi="微软雅黑" w:eastAsia="微软雅黑"/>
          <w:sz w:val="21"/>
          <w:szCs w:val="21"/>
        </w:rPr>
        <w:t>APP搜索“有惊喜”或品牌关键词，度晓晓</w:t>
      </w:r>
      <w:r>
        <w:rPr>
          <w:rFonts w:hint="eastAsia" w:ascii="微软雅黑" w:hAnsi="微软雅黑" w:eastAsia="微软雅黑"/>
          <w:sz w:val="21"/>
          <w:szCs w:val="21"/>
        </w:rPr>
        <w:t>即</w:t>
      </w:r>
      <w:r>
        <w:rPr>
          <w:rFonts w:ascii="微软雅黑" w:hAnsi="微软雅黑" w:eastAsia="微软雅黑"/>
          <w:sz w:val="21"/>
          <w:szCs w:val="21"/>
        </w:rPr>
        <w:t>化身好物推荐官，用好物内容为用户种草，再奉上各种大牌好礼</w:t>
      </w:r>
      <w:r>
        <w:rPr>
          <w:rFonts w:hint="eastAsia" w:ascii="微软雅黑" w:hAnsi="微软雅黑" w:eastAsia="微软雅黑"/>
          <w:sz w:val="21"/>
          <w:szCs w:val="21"/>
        </w:rPr>
        <w:t>，如</w:t>
      </w:r>
      <w:r>
        <w:rPr>
          <w:rFonts w:ascii="微软雅黑" w:hAnsi="微软雅黑" w:eastAsia="微软雅黑"/>
          <w:sz w:val="21"/>
          <w:szCs w:val="21"/>
        </w:rPr>
        <w:t>化妆品大牌小样、家装优惠券、车用好礼</w:t>
      </w:r>
      <w:r>
        <w:rPr>
          <w:rFonts w:hint="eastAsia" w:ascii="微软雅黑" w:hAnsi="微软雅黑" w:eastAsia="微软雅黑"/>
          <w:sz w:val="21"/>
          <w:szCs w:val="21"/>
        </w:rPr>
        <w:t>……</w:t>
      </w:r>
      <w:r>
        <w:rPr>
          <w:rFonts w:ascii="微软雅黑" w:hAnsi="微软雅黑" w:eastAsia="微软雅黑"/>
          <w:sz w:val="21"/>
          <w:szCs w:val="21"/>
        </w:rPr>
        <w:t>让用户拔草。</w:t>
      </w:r>
    </w:p>
    <w:p>
      <w:pPr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/>
        </w:rPr>
        <w:drawing>
          <wp:inline distT="0" distB="0" distL="0" distR="0">
            <wp:extent cx="4603115" cy="2013585"/>
            <wp:effectExtent l="0" t="0" r="698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2340" cy="203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通路二：多行业多品牌影响力联动，指数级提升活动号召力。</w:t>
      </w:r>
    </w:p>
    <w:p>
      <w:pPr>
        <w:textAlignment w:val="baseline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“有惊喜”I</w:t>
      </w:r>
      <w:r>
        <w:rPr>
          <w:rFonts w:ascii="微软雅黑" w:hAnsi="微软雅黑" w:eastAsia="微软雅黑"/>
          <w:sz w:val="21"/>
          <w:szCs w:val="21"/>
        </w:rPr>
        <w:t>P</w:t>
      </w:r>
      <w:r>
        <w:rPr>
          <w:rFonts w:hint="eastAsia" w:ascii="微软雅黑" w:hAnsi="微软雅黑" w:eastAsia="微软雅黑"/>
          <w:sz w:val="21"/>
          <w:szCs w:val="21"/>
        </w:rPr>
        <w:t>活动已成功进行四期，分别深入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美妆、家装、汽车3个行业，携手2</w:t>
      </w:r>
      <w:r>
        <w:rPr>
          <w:rFonts w:ascii="微软雅黑" w:hAnsi="微软雅黑" w:eastAsia="微软雅黑"/>
          <w:b/>
          <w:bCs/>
          <w:sz w:val="21"/>
          <w:szCs w:val="21"/>
        </w:rPr>
        <w:t>2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家行业头部品牌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color w:val="000000"/>
          <w:sz w:val="21"/>
          <w:szCs w:val="21"/>
        </w:rPr>
        <w:t>以多品牌联动的强大影响力为活动加持，并通过品牌联动宣发，触达更广泛的、愿意尝鲜的</w:t>
      </w:r>
      <w:r>
        <w:rPr>
          <w:rFonts w:hint="eastAsia" w:ascii="微软雅黑" w:hAnsi="微软雅黑" w:eastAsia="微软雅黑"/>
          <w:color w:val="000000"/>
          <w:sz w:val="21"/>
          <w:szCs w:val="21"/>
        </w:rPr>
        <w:t>目标</w:t>
      </w:r>
      <w:r>
        <w:rPr>
          <w:rFonts w:ascii="微软雅黑" w:hAnsi="微软雅黑" w:eastAsia="微软雅黑"/>
          <w:color w:val="000000"/>
          <w:sz w:val="21"/>
          <w:szCs w:val="21"/>
        </w:rPr>
        <w:t>人群，带动更多的潜在用户参与，持续为活动蓄水。</w:t>
      </w:r>
    </w:p>
    <w:p>
      <w:pPr>
        <w:jc w:val="center"/>
        <w:textAlignment w:val="baseline"/>
        <w:rPr>
          <w:rFonts w:ascii="微软雅黑" w:hAnsi="微软雅黑" w:eastAsia="微软雅黑"/>
          <w:color w:val="000000"/>
          <w:sz w:val="22"/>
          <w:szCs w:val="22"/>
        </w:rPr>
      </w:pPr>
      <w:r>
        <w:drawing>
          <wp:inline distT="0" distB="0" distL="0" distR="0">
            <wp:extent cx="5109845" cy="2470785"/>
            <wp:effectExtent l="0" t="0" r="14605" b="5715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textAlignment w:val="baseline"/>
        <w:rPr>
          <w:rFonts w:ascii="微软雅黑" w:hAnsi="微软雅黑" w:eastAsia="微软雅黑"/>
          <w:color w:val="000000"/>
          <w:sz w:val="22"/>
          <w:szCs w:val="22"/>
        </w:rPr>
      </w:pPr>
      <w:r>
        <w:drawing>
          <wp:inline distT="0" distB="0" distL="114300" distR="114300">
            <wp:extent cx="5671185" cy="3342005"/>
            <wp:effectExtent l="0" t="0" r="5715" b="1079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rcRect l="6295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2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激发用户主动搜索行为，多路径互动培育心智加深意向。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用户通过搜索进入活动主会场，可以一览各品牌活动实况，同时</w:t>
      </w:r>
      <w:r>
        <w:rPr>
          <w:rFonts w:ascii="微软雅黑" w:hAnsi="微软雅黑" w:eastAsia="微软雅黑"/>
          <w:sz w:val="21"/>
          <w:szCs w:val="21"/>
        </w:rPr>
        <w:t>在度晓晓的引导下，</w:t>
      </w:r>
      <w:r>
        <w:rPr>
          <w:rFonts w:hint="eastAsia" w:ascii="微软雅黑" w:hAnsi="微软雅黑" w:eastAsia="微软雅黑"/>
          <w:sz w:val="21"/>
          <w:szCs w:val="21"/>
        </w:rPr>
        <w:t>不仅可</w:t>
      </w:r>
      <w:r>
        <w:rPr>
          <w:rFonts w:ascii="微软雅黑" w:hAnsi="微软雅黑" w:eastAsia="微软雅黑"/>
          <w:sz w:val="21"/>
          <w:szCs w:val="21"/>
        </w:rPr>
        <w:t>体验不同品牌</w:t>
      </w:r>
      <w:r>
        <w:rPr>
          <w:rFonts w:hint="eastAsia" w:ascii="微软雅黑" w:hAnsi="微软雅黑" w:eastAsia="微软雅黑"/>
          <w:sz w:val="21"/>
          <w:szCs w:val="21"/>
        </w:rPr>
        <w:t>放送</w:t>
      </w:r>
      <w:r>
        <w:rPr>
          <w:rFonts w:ascii="微软雅黑" w:hAnsi="微软雅黑" w:eastAsia="微软雅黑"/>
          <w:sz w:val="21"/>
          <w:szCs w:val="21"/>
        </w:rPr>
        <w:t>的专属福利，还可与其他用户进行实时评论、互动</w:t>
      </w:r>
      <w:r>
        <w:rPr>
          <w:rFonts w:hint="eastAsia" w:ascii="微软雅黑" w:hAnsi="微软雅黑" w:eastAsia="微软雅黑"/>
          <w:sz w:val="21"/>
          <w:szCs w:val="21"/>
        </w:rPr>
        <w:t>，真实福利+社交互动，大大激发了用户的好奇心和参与积极性。此外，品牌内容和话题互动也能持续调动用户参与积极性，深度培育用户心智。</w:t>
      </w:r>
    </w:p>
    <w:p>
      <w:pPr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719445" cy="4412615"/>
            <wp:effectExtent l="0" t="0" r="14605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441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打造私域转化闭环，A</w:t>
      </w:r>
      <w:r>
        <w:rPr>
          <w:rFonts w:ascii="微软雅黑" w:hAnsi="微软雅黑" w:eastAsia="微软雅黑"/>
          <w:b/>
          <w:bCs/>
          <w:sz w:val="21"/>
          <w:szCs w:val="21"/>
        </w:rPr>
        <w:t>IA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模型助品牌营销提质增效。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（1）活动中，用户领取到的福利，如正装优惠券，在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品牌小程序内</w:t>
      </w:r>
      <w:r>
        <w:rPr>
          <w:rFonts w:hint="eastAsia" w:ascii="微软雅黑" w:hAnsi="微软雅黑" w:eastAsia="微软雅黑"/>
          <w:sz w:val="21"/>
          <w:szCs w:val="21"/>
        </w:rPr>
        <w:t>即可下单使用，无需跳转其他平台，缩短了用户进一步购买的转化路径，减少中间环节的流失，高效地将意向用户转化为行动用户，为品牌带来新的增长。</w:t>
      </w:r>
    </w:p>
    <w:p>
      <w:pPr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  <w:drawing>
          <wp:inline distT="0" distB="0" distL="0" distR="0">
            <wp:extent cx="5169535" cy="2525395"/>
            <wp:effectExtent l="0" t="0" r="12065" b="8255"/>
            <wp:docPr id="10" name="图片 10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7" t="5677" r="6042" b="7563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（2）在活动全过程，百度A</w:t>
      </w:r>
      <w:r>
        <w:rPr>
          <w:rFonts w:ascii="微软雅黑" w:hAnsi="微软雅黑" w:eastAsia="微软雅黑"/>
          <w:sz w:val="21"/>
          <w:szCs w:val="21"/>
        </w:rPr>
        <w:t>IA</w:t>
      </w:r>
      <w:r>
        <w:rPr>
          <w:rFonts w:hint="eastAsia" w:ascii="微软雅黑" w:hAnsi="微软雅黑" w:eastAsia="微软雅黑"/>
          <w:sz w:val="21"/>
          <w:szCs w:val="21"/>
        </w:rPr>
        <w:t>全营销价值度量体系还会对参与品牌进行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A</w:t>
      </w:r>
      <w:r>
        <w:rPr>
          <w:rFonts w:ascii="微软雅黑" w:hAnsi="微软雅黑" w:eastAsia="微软雅黑"/>
          <w:b/>
          <w:bCs/>
          <w:sz w:val="21"/>
          <w:szCs w:val="21"/>
        </w:rPr>
        <w:t>IA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人群分层扩充</w:t>
      </w:r>
      <w:r>
        <w:rPr>
          <w:rFonts w:hint="eastAsia" w:ascii="微软雅黑" w:hAnsi="微软雅黑" w:eastAsia="微软雅黑"/>
          <w:sz w:val="21"/>
          <w:szCs w:val="21"/>
        </w:rPr>
        <w:t>（认知人群A→意图人群I→行动人群A），并进一步量化营销效果，帮助品牌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清晰把控不同阶段人群流转状况以及用户关系深浅，并基于不同阶段用户需求，进一步对各层人群实施精准复投，实现品牌用户资产的精细化运营。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715000" cy="11684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</w:p>
    <w:p>
      <w:pPr>
        <w:spacing w:before="100" w:beforeAutospacing="1" w:after="100" w:afterAutospacing="1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效果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活动总曝光：</w:t>
      </w:r>
      <w:r>
        <w:rPr>
          <w:rFonts w:ascii="微软雅黑" w:hAnsi="微软雅黑" w:eastAsia="微软雅黑"/>
          <w:b/>
          <w:bCs/>
          <w:sz w:val="21"/>
          <w:szCs w:val="21"/>
        </w:rPr>
        <w:t>9.27亿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参与品牌的用户平均转化率：</w:t>
      </w:r>
      <w:r>
        <w:rPr>
          <w:rFonts w:ascii="微软雅黑" w:hAnsi="微软雅黑" w:eastAsia="微软雅黑"/>
          <w:b/>
          <w:bCs/>
          <w:sz w:val="21"/>
          <w:szCs w:val="21"/>
        </w:rPr>
        <w:t>10. 31%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参与品牌数量：</w:t>
      </w:r>
      <w:r>
        <w:rPr>
          <w:rFonts w:ascii="微软雅黑" w:hAnsi="微软雅黑" w:eastAsia="微软雅黑"/>
          <w:b/>
          <w:bCs/>
          <w:sz w:val="21"/>
          <w:szCs w:val="21"/>
        </w:rPr>
        <w:t>22家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品牌词日</w:t>
      </w:r>
      <w:r>
        <w:rPr>
          <w:rFonts w:ascii="微软雅黑" w:hAnsi="微软雅黑" w:eastAsia="微软雅黑"/>
          <w:sz w:val="21"/>
          <w:szCs w:val="21"/>
        </w:rPr>
        <w:t>PV平均增长：</w:t>
      </w:r>
      <w:r>
        <w:rPr>
          <w:rFonts w:ascii="微软雅黑" w:hAnsi="微软雅黑" w:eastAsia="微软雅黑"/>
          <w:b/>
          <w:bCs/>
          <w:sz w:val="21"/>
          <w:szCs w:val="21"/>
        </w:rPr>
        <w:t>15倍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活动期间参与品牌的百度指数·品牌指数日均增长率：</w:t>
      </w:r>
      <w:r>
        <w:rPr>
          <w:rFonts w:ascii="微软雅黑" w:hAnsi="微软雅黑" w:eastAsia="微软雅黑"/>
          <w:b/>
          <w:bCs/>
          <w:sz w:val="21"/>
          <w:szCs w:val="21"/>
        </w:rPr>
        <w:t>9.53%</w:t>
      </w:r>
    </w:p>
    <w:p>
      <w:pPr>
        <w:spacing w:before="100" w:beforeAutospacing="1" w:after="100" w:afterAutospacing="1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反馈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这个活动打造了用户关系新标杆——从“上帝”到“朋友”：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对于C端用户来说，活动接地气，有自己心仪的品牌产品，没有弯弯绕，所以参与积极性高。美妆、汽车和家装主题满足年轻人的需求，享受福利的同时还能分享惊喜，社交感强。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对于B端客户来说，“</w:t>
      </w:r>
      <w:r>
        <w:rPr>
          <w:rFonts w:ascii="微软雅黑" w:hAnsi="微软雅黑" w:eastAsia="微软雅黑"/>
          <w:sz w:val="21"/>
          <w:szCs w:val="21"/>
        </w:rPr>
        <w:t>搜索+品牌+话题</w:t>
      </w:r>
      <w:r>
        <w:rPr>
          <w:rFonts w:hint="eastAsia" w:ascii="微软雅黑" w:hAnsi="微软雅黑" w:eastAsia="微软雅黑"/>
          <w:sz w:val="21"/>
          <w:szCs w:val="21"/>
        </w:rPr>
        <w:t>”</w:t>
      </w:r>
      <w:r>
        <w:rPr>
          <w:rFonts w:ascii="微软雅黑" w:hAnsi="微软雅黑" w:eastAsia="微软雅黑"/>
          <w:sz w:val="21"/>
          <w:szCs w:val="21"/>
        </w:rPr>
        <w:t>的玩法，</w:t>
      </w:r>
      <w:r>
        <w:rPr>
          <w:rFonts w:hint="eastAsia" w:ascii="微软雅黑" w:hAnsi="微软雅黑" w:eastAsia="微软雅黑"/>
          <w:sz w:val="21"/>
          <w:szCs w:val="21"/>
        </w:rPr>
        <w:t>能够深度触达意图人群。</w:t>
      </w:r>
      <w:r>
        <w:rPr>
          <w:rFonts w:ascii="微软雅黑" w:hAnsi="微软雅黑" w:eastAsia="微软雅黑"/>
          <w:sz w:val="21"/>
          <w:szCs w:val="21"/>
        </w:rPr>
        <w:t>关键词搜索将用户吸引到品牌专区的小程序或官网，促进搜索行为转化为交易行为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从</w:t>
      </w:r>
      <w:r>
        <w:rPr>
          <w:rFonts w:hint="eastAsia" w:ascii="微软雅黑" w:hAnsi="微软雅黑" w:eastAsia="微软雅黑"/>
          <w:sz w:val="21"/>
          <w:szCs w:val="21"/>
        </w:rPr>
        <w:t>“</w:t>
      </w:r>
      <w:r>
        <w:rPr>
          <w:rFonts w:ascii="微软雅黑" w:hAnsi="微软雅黑" w:eastAsia="微软雅黑"/>
          <w:sz w:val="21"/>
          <w:szCs w:val="21"/>
        </w:rPr>
        <w:t>流量</w:t>
      </w:r>
      <w:r>
        <w:rPr>
          <w:rFonts w:hint="eastAsia" w:ascii="微软雅黑" w:hAnsi="微软雅黑" w:eastAsia="微软雅黑"/>
          <w:sz w:val="21"/>
          <w:szCs w:val="21"/>
        </w:rPr>
        <w:t>”</w:t>
      </w:r>
      <w:r>
        <w:rPr>
          <w:rFonts w:ascii="微软雅黑" w:hAnsi="微软雅黑" w:eastAsia="微软雅黑"/>
          <w:sz w:val="21"/>
          <w:szCs w:val="21"/>
        </w:rPr>
        <w:t>变</w:t>
      </w:r>
      <w:r>
        <w:rPr>
          <w:rFonts w:hint="eastAsia" w:ascii="微软雅黑" w:hAnsi="微软雅黑" w:eastAsia="微软雅黑"/>
          <w:sz w:val="21"/>
          <w:szCs w:val="21"/>
        </w:rPr>
        <w:t>“</w:t>
      </w:r>
      <w:r>
        <w:rPr>
          <w:rFonts w:ascii="微软雅黑" w:hAnsi="微软雅黑" w:eastAsia="微软雅黑"/>
          <w:sz w:val="21"/>
          <w:szCs w:val="21"/>
        </w:rPr>
        <w:t>留量</w:t>
      </w:r>
      <w:r>
        <w:rPr>
          <w:rFonts w:hint="eastAsia" w:ascii="微软雅黑" w:hAnsi="微软雅黑" w:eastAsia="微软雅黑"/>
          <w:sz w:val="21"/>
          <w:szCs w:val="21"/>
        </w:rPr>
        <w:t>”。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对于百度平台而言，多行业、多品牌矩阵，为活动打造长线I</w:t>
      </w:r>
      <w:r>
        <w:rPr>
          <w:rFonts w:ascii="微软雅黑" w:hAnsi="微软雅黑" w:eastAsia="微软雅黑"/>
          <w:sz w:val="21"/>
          <w:szCs w:val="21"/>
        </w:rPr>
        <w:t>P</w:t>
      </w:r>
      <w:r>
        <w:rPr>
          <w:rFonts w:hint="eastAsia" w:ascii="微软雅黑" w:hAnsi="微软雅黑" w:eastAsia="微软雅黑"/>
          <w:sz w:val="21"/>
          <w:szCs w:val="21"/>
        </w:rPr>
        <w:t>蓄力，也</w:t>
      </w:r>
      <w:r>
        <w:rPr>
          <w:rFonts w:ascii="微软雅黑" w:hAnsi="微软雅黑" w:eastAsia="微软雅黑"/>
          <w:sz w:val="21"/>
          <w:szCs w:val="21"/>
        </w:rPr>
        <w:t>有助于</w:t>
      </w:r>
      <w:r>
        <w:rPr>
          <w:rFonts w:hint="eastAsia" w:ascii="微软雅黑" w:hAnsi="微软雅黑" w:eastAsia="微软雅黑"/>
          <w:sz w:val="21"/>
          <w:szCs w:val="21"/>
        </w:rPr>
        <w:t>用户</w:t>
      </w:r>
      <w:r>
        <w:rPr>
          <w:rFonts w:ascii="微软雅黑" w:hAnsi="微软雅黑" w:eastAsia="微软雅黑"/>
          <w:sz w:val="21"/>
          <w:szCs w:val="21"/>
        </w:rPr>
        <w:t>形成</w:t>
      </w:r>
      <w:r>
        <w:rPr>
          <w:rFonts w:hint="eastAsia" w:ascii="微软雅黑" w:hAnsi="微软雅黑" w:eastAsia="微软雅黑"/>
          <w:sz w:val="21"/>
          <w:szCs w:val="21"/>
        </w:rPr>
        <w:t>“</w:t>
      </w:r>
      <w:r>
        <w:rPr>
          <w:rFonts w:ascii="微软雅黑" w:hAnsi="微软雅黑" w:eastAsia="微软雅黑"/>
          <w:sz w:val="21"/>
          <w:szCs w:val="21"/>
        </w:rPr>
        <w:t>滚雪球</w:t>
      </w:r>
      <w:r>
        <w:rPr>
          <w:rFonts w:hint="eastAsia" w:ascii="微软雅黑" w:hAnsi="微软雅黑" w:eastAsia="微软雅黑"/>
          <w:sz w:val="21"/>
          <w:szCs w:val="21"/>
        </w:rPr>
        <w:t>”</w:t>
      </w:r>
      <w:r>
        <w:rPr>
          <w:rFonts w:ascii="微软雅黑" w:hAnsi="微软雅黑" w:eastAsia="微软雅黑"/>
          <w:sz w:val="21"/>
          <w:szCs w:val="21"/>
        </w:rPr>
        <w:t>效应</w:t>
      </w:r>
      <w:r>
        <w:rPr>
          <w:rFonts w:hint="eastAsia" w:ascii="微软雅黑" w:hAnsi="微软雅黑" w:eastAsia="微软雅黑"/>
          <w:sz w:val="21"/>
          <w:szCs w:val="21"/>
        </w:rPr>
        <w:t>。AI数字人作为活动代言人，打破次元壁，拉近品牌与年轻人的距离。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此案例反映出，</w:t>
      </w:r>
      <w:r>
        <w:rPr>
          <w:rFonts w:ascii="微软雅黑" w:hAnsi="微软雅黑" w:eastAsia="微软雅黑"/>
          <w:sz w:val="21"/>
          <w:szCs w:val="21"/>
        </w:rPr>
        <w:t>百度搜索不仅是品牌提升曝光的重要渠道，</w:t>
      </w:r>
      <w:r>
        <w:rPr>
          <w:rFonts w:hint="eastAsia" w:ascii="微软雅黑" w:hAnsi="微软雅黑" w:eastAsia="微软雅黑"/>
          <w:sz w:val="21"/>
          <w:szCs w:val="21"/>
        </w:rPr>
        <w:t>还</w:t>
      </w:r>
      <w:r>
        <w:rPr>
          <w:rFonts w:ascii="微软雅黑" w:hAnsi="微软雅黑" w:eastAsia="微软雅黑"/>
          <w:sz w:val="21"/>
          <w:szCs w:val="21"/>
        </w:rPr>
        <w:t>能帮助品牌实现从公域引流到私域沉淀，再到用户转化裂变的过程，从而打造全链路营销闭环。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right"/>
        <w:textAlignment w:val="auto"/>
        <w:rPr>
          <w:rFonts w:ascii="微软雅黑" w:hAnsi="微软雅黑" w:eastAsia="微软雅黑"/>
          <w:bCs/>
          <w:i/>
          <w:iCs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——</w:t>
      </w:r>
      <w:r>
        <w:rPr>
          <w:rFonts w:hint="eastAsia" w:ascii="微软雅黑" w:hAnsi="微软雅黑" w:eastAsia="微软雅黑"/>
          <w:sz w:val="21"/>
          <w:szCs w:val="21"/>
        </w:rPr>
        <w:t xml:space="preserve">金鼠标、TMA联合创办人/执行主席，网赢天下网创办人/首席架构设计师 </w:t>
      </w:r>
      <w:r>
        <w:rPr>
          <w:rFonts w:ascii="微软雅黑" w:hAnsi="微软雅黑" w:eastAsia="微软雅黑"/>
          <w:sz w:val="21"/>
          <w:szCs w:val="21"/>
        </w:rPr>
        <w:t xml:space="preserve"> </w:t>
      </w:r>
      <w:r>
        <w:rPr>
          <w:rFonts w:hint="eastAsia" w:ascii="微软雅黑" w:hAnsi="微软雅黑" w:eastAsia="微软雅黑"/>
          <w:b/>
          <w:sz w:val="21"/>
          <w:szCs w:val="21"/>
        </w:rPr>
        <w:t>方立军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040546"/>
    <w:multiLevelType w:val="singleLevel"/>
    <w:tmpl w:val="03040546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c0OGU4OWUyMzhmZTI5N2I5YWVhZjVjNzgxYWMyZmQifQ=="/>
  </w:docVars>
  <w:rsids>
    <w:rsidRoot w:val="00172A27"/>
    <w:rsid w:val="00000FCE"/>
    <w:rsid w:val="00020E7A"/>
    <w:rsid w:val="00024497"/>
    <w:rsid w:val="00030775"/>
    <w:rsid w:val="00030A60"/>
    <w:rsid w:val="00046CF7"/>
    <w:rsid w:val="000532E1"/>
    <w:rsid w:val="00055DCE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E4B55"/>
    <w:rsid w:val="000F07ED"/>
    <w:rsid w:val="000F47B5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1C84"/>
    <w:rsid w:val="00184006"/>
    <w:rsid w:val="00191F44"/>
    <w:rsid w:val="00192A5B"/>
    <w:rsid w:val="00194762"/>
    <w:rsid w:val="00195220"/>
    <w:rsid w:val="001954B4"/>
    <w:rsid w:val="0019737F"/>
    <w:rsid w:val="001A500D"/>
    <w:rsid w:val="001C07E5"/>
    <w:rsid w:val="001C2D8B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3CB4"/>
    <w:rsid w:val="002F7E7A"/>
    <w:rsid w:val="003056B8"/>
    <w:rsid w:val="00311DCD"/>
    <w:rsid w:val="00317BD4"/>
    <w:rsid w:val="00320B24"/>
    <w:rsid w:val="003219F7"/>
    <w:rsid w:val="00334623"/>
    <w:rsid w:val="00346CCC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D64E5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17B1A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2AE1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65306"/>
    <w:rsid w:val="006707FE"/>
    <w:rsid w:val="0067611E"/>
    <w:rsid w:val="006853C8"/>
    <w:rsid w:val="0068560C"/>
    <w:rsid w:val="0069096F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E47E2"/>
    <w:rsid w:val="006F421E"/>
    <w:rsid w:val="006F662D"/>
    <w:rsid w:val="007040B0"/>
    <w:rsid w:val="00710B89"/>
    <w:rsid w:val="00715AD3"/>
    <w:rsid w:val="00716B53"/>
    <w:rsid w:val="007174C1"/>
    <w:rsid w:val="00720C71"/>
    <w:rsid w:val="0072102A"/>
    <w:rsid w:val="007270CB"/>
    <w:rsid w:val="0072725D"/>
    <w:rsid w:val="0073004D"/>
    <w:rsid w:val="0073428A"/>
    <w:rsid w:val="00735D1B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3F3E"/>
    <w:rsid w:val="007D5451"/>
    <w:rsid w:val="007D76B6"/>
    <w:rsid w:val="007E2B9D"/>
    <w:rsid w:val="007F6422"/>
    <w:rsid w:val="0080439E"/>
    <w:rsid w:val="00812085"/>
    <w:rsid w:val="00812A8A"/>
    <w:rsid w:val="00813515"/>
    <w:rsid w:val="00813A24"/>
    <w:rsid w:val="008159A4"/>
    <w:rsid w:val="00820C09"/>
    <w:rsid w:val="00823822"/>
    <w:rsid w:val="0082404D"/>
    <w:rsid w:val="00825032"/>
    <w:rsid w:val="00825834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16FC"/>
    <w:rsid w:val="00932225"/>
    <w:rsid w:val="00932353"/>
    <w:rsid w:val="009366D3"/>
    <w:rsid w:val="00946CB6"/>
    <w:rsid w:val="00956ED6"/>
    <w:rsid w:val="009573AC"/>
    <w:rsid w:val="00960A9E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6D6F"/>
    <w:rsid w:val="009B796F"/>
    <w:rsid w:val="009C6E37"/>
    <w:rsid w:val="009D0A2B"/>
    <w:rsid w:val="009D5BD0"/>
    <w:rsid w:val="009D6B34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61FD"/>
    <w:rsid w:val="00AE7F81"/>
    <w:rsid w:val="00AF0F77"/>
    <w:rsid w:val="00AF14EB"/>
    <w:rsid w:val="00AF1D91"/>
    <w:rsid w:val="00AF52F9"/>
    <w:rsid w:val="00B03FD0"/>
    <w:rsid w:val="00B05B17"/>
    <w:rsid w:val="00B24DCC"/>
    <w:rsid w:val="00B25274"/>
    <w:rsid w:val="00B27391"/>
    <w:rsid w:val="00B343C6"/>
    <w:rsid w:val="00B35B50"/>
    <w:rsid w:val="00B36BD0"/>
    <w:rsid w:val="00B40529"/>
    <w:rsid w:val="00B413D5"/>
    <w:rsid w:val="00B5241D"/>
    <w:rsid w:val="00B54EBC"/>
    <w:rsid w:val="00B5734D"/>
    <w:rsid w:val="00B71E01"/>
    <w:rsid w:val="00B769D8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4B25"/>
    <w:rsid w:val="00BF6726"/>
    <w:rsid w:val="00C00168"/>
    <w:rsid w:val="00C04E7B"/>
    <w:rsid w:val="00C078EC"/>
    <w:rsid w:val="00C171FB"/>
    <w:rsid w:val="00C22F7E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1461"/>
    <w:rsid w:val="00D13BC3"/>
    <w:rsid w:val="00D14F03"/>
    <w:rsid w:val="00D409BB"/>
    <w:rsid w:val="00D411C0"/>
    <w:rsid w:val="00D5007A"/>
    <w:rsid w:val="00D53B83"/>
    <w:rsid w:val="00D5598B"/>
    <w:rsid w:val="00D56BD0"/>
    <w:rsid w:val="00D63679"/>
    <w:rsid w:val="00D6725D"/>
    <w:rsid w:val="00D71A2E"/>
    <w:rsid w:val="00D731FC"/>
    <w:rsid w:val="00D80973"/>
    <w:rsid w:val="00DA6941"/>
    <w:rsid w:val="00DB3618"/>
    <w:rsid w:val="00DB3708"/>
    <w:rsid w:val="00DB3F38"/>
    <w:rsid w:val="00DB461D"/>
    <w:rsid w:val="00DB4C4A"/>
    <w:rsid w:val="00DC32E7"/>
    <w:rsid w:val="00DC397E"/>
    <w:rsid w:val="00DC3DE5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4CCD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96EA2"/>
    <w:rsid w:val="00EA01E3"/>
    <w:rsid w:val="00EA09EA"/>
    <w:rsid w:val="00EA4712"/>
    <w:rsid w:val="00EA652C"/>
    <w:rsid w:val="00EB0731"/>
    <w:rsid w:val="00EB2BFB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250F7"/>
    <w:rsid w:val="00F31856"/>
    <w:rsid w:val="00F35569"/>
    <w:rsid w:val="00F3618F"/>
    <w:rsid w:val="00F4008B"/>
    <w:rsid w:val="00F413B7"/>
    <w:rsid w:val="00F41E61"/>
    <w:rsid w:val="00F503C8"/>
    <w:rsid w:val="00F56689"/>
    <w:rsid w:val="00F821BF"/>
    <w:rsid w:val="00F853FB"/>
    <w:rsid w:val="00FA4FF9"/>
    <w:rsid w:val="00FB293C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232A"/>
    <w:rsid w:val="00FE497C"/>
    <w:rsid w:val="00FE70B2"/>
    <w:rsid w:val="00FE7398"/>
    <w:rsid w:val="0EE60023"/>
    <w:rsid w:val="FA5B3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9"/>
    <w:semiHidden/>
    <w:unhideWhenUsed/>
    <w:uiPriority w:val="99"/>
  </w:style>
  <w:style w:type="paragraph" w:styleId="4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0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0"/>
    <w:semiHidden/>
    <w:unhideWhenUsed/>
    <w:uiPriority w:val="99"/>
    <w:rPr>
      <w:b/>
      <w:bCs/>
    </w:rPr>
  </w:style>
  <w:style w:type="table" w:styleId="13">
    <w:name w:val="Table Grid"/>
    <w:basedOn w:val="1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22"/>
    <w:rPr>
      <w:b/>
    </w:rPr>
  </w:style>
  <w:style w:type="character" w:styleId="16">
    <w:name w:val="page number"/>
    <w:basedOn w:val="14"/>
    <w:uiPriority w:val="0"/>
  </w:style>
  <w:style w:type="character" w:styleId="17">
    <w:name w:val="Emphasis"/>
    <w:basedOn w:val="14"/>
    <w:qFormat/>
    <w:uiPriority w:val="0"/>
    <w:rPr>
      <w:i/>
    </w:rPr>
  </w:style>
  <w:style w:type="character" w:styleId="18">
    <w:name w:val="Hyperlink"/>
    <w:basedOn w:val="14"/>
    <w:qFormat/>
    <w:uiPriority w:val="0"/>
    <w:rPr>
      <w:color w:val="0000FF"/>
      <w:u w:val="single"/>
    </w:rPr>
  </w:style>
  <w:style w:type="character" w:styleId="19">
    <w:name w:val="annotation reference"/>
    <w:basedOn w:val="14"/>
    <w:semiHidden/>
    <w:unhideWhenUsed/>
    <w:qFormat/>
    <w:uiPriority w:val="99"/>
    <w:rPr>
      <w:sz w:val="21"/>
      <w:szCs w:val="21"/>
    </w:rPr>
  </w:style>
  <w:style w:type="character" w:customStyle="1" w:styleId="20">
    <w:name w:val="标题 字符"/>
    <w:basedOn w:val="14"/>
    <w:link w:val="10"/>
    <w:uiPriority w:val="0"/>
    <w:rPr>
      <w:b/>
      <w:sz w:val="28"/>
      <w:lang w:eastAsia="en-US"/>
    </w:rPr>
  </w:style>
  <w:style w:type="character" w:customStyle="1" w:styleId="21">
    <w:name w:val="bottom1"/>
    <w:basedOn w:val="14"/>
    <w:uiPriority w:val="0"/>
    <w:rPr>
      <w:color w:val="6E6E6E"/>
    </w:rPr>
  </w:style>
  <w:style w:type="character" w:customStyle="1" w:styleId="22">
    <w:name w:val="apple-converted-space"/>
    <w:basedOn w:val="14"/>
    <w:qFormat/>
    <w:uiPriority w:val="0"/>
  </w:style>
  <w:style w:type="character" w:customStyle="1" w:styleId="23">
    <w:name w:val="apple-style-span"/>
    <w:basedOn w:val="14"/>
    <w:qFormat/>
    <w:uiPriority w:val="0"/>
  </w:style>
  <w:style w:type="paragraph" w:styleId="24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5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6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7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8">
    <w:name w:val="批注框文本 字符"/>
    <w:basedOn w:val="14"/>
    <w:link w:val="6"/>
    <w:semiHidden/>
    <w:uiPriority w:val="99"/>
    <w:rPr>
      <w:kern w:val="2"/>
      <w:sz w:val="18"/>
      <w:szCs w:val="18"/>
    </w:rPr>
  </w:style>
  <w:style w:type="character" w:customStyle="1" w:styleId="29">
    <w:name w:val="批注文字 字符"/>
    <w:basedOn w:val="14"/>
    <w:link w:val="3"/>
    <w:semiHidden/>
    <w:uiPriority w:val="99"/>
    <w:rPr>
      <w:rFonts w:ascii="宋体" w:hAnsi="宋体" w:cs="宋体"/>
      <w:sz w:val="24"/>
      <w:szCs w:val="24"/>
    </w:rPr>
  </w:style>
  <w:style w:type="character" w:customStyle="1" w:styleId="30">
    <w:name w:val="批注主题 字符"/>
    <w:basedOn w:val="29"/>
    <w:link w:val="11"/>
    <w:semiHidden/>
    <w:uiPriority w:val="99"/>
    <w:rPr>
      <w:rFonts w:ascii="宋体" w:hAnsi="宋体" w:cs="宋体"/>
      <w:b/>
      <w:bCs/>
      <w:sz w:val="24"/>
      <w:szCs w:val="24"/>
    </w:rPr>
  </w:style>
  <w:style w:type="paragraph" w:customStyle="1" w:styleId="31">
    <w:name w:val="修订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numbering" Target="numbering.xml"/><Relationship Id="rId15" Type="http://schemas.openxmlformats.org/officeDocument/2006/relationships/image" Target="media/image7.png"/><Relationship Id="rId14" Type="http://schemas.openxmlformats.org/officeDocument/2006/relationships/image" Target="media/image6.jpe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tyleName="GOST - Title Sort" SelectedStyle="\GostTitle.XSL"/>
</file>

<file path=customXml/itemProps1.xml><?xml version="1.0" encoding="utf-8"?>
<ds:datastoreItem xmlns:ds="http://schemas.openxmlformats.org/officeDocument/2006/customXml" ds:itemID="{80E7F048-142E-8F4B-9DD3-B0DEAF64784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5</Pages>
  <Words>2310</Words>
  <Characters>2377</Characters>
  <Lines>17</Lines>
  <Paragraphs>4</Paragraphs>
  <TotalTime>1</TotalTime>
  <ScaleCrop>false</ScaleCrop>
  <LinksUpToDate>false</LinksUpToDate>
  <CharactersWithSpaces>2385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2023-02-08T20:05:00Z</dcterms:created>
  <dc:creator>雨林木风</dc:creator>
  <cp:lastModifiedBy>熊梦洋</cp:lastModifiedBy>
  <cp:lastPrinted>2012-10-11T16:46:00Z</cp:lastPrinted>
  <dcterms:modified xsi:type="dcterms:W3CDTF">2023-02-14T06:24:30Z</dcterms:modified>
  <dc:title>No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7C0AAAA32EAE434BA969CE8D6A6BEE80</vt:lpwstr>
  </property>
</Properties>
</file>