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别克世纪36小时新车发布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  <w:t>，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开创MPV新世纪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别克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汽车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11.02-</w:t>
      </w:r>
      <w:r>
        <w:rPr>
          <w:rFonts w:hint="eastAsia" w:ascii="微软雅黑" w:hAnsi="微软雅黑" w:eastAsia="微软雅黑"/>
          <w:sz w:val="21"/>
          <w:szCs w:val="21"/>
        </w:rPr>
        <w:t>11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.04</w:t>
      </w:r>
    </w:p>
    <w:p>
      <w:pPr>
        <w:spacing w:after="240"/>
        <w:textAlignment w:val="baseline"/>
        <w:rPr>
          <w:rFonts w:hint="eastAsia" w:ascii="微软雅黑" w:hAnsi="微软雅黑" w:eastAsia="微软雅黑"/>
          <w:b/>
          <w:color w:val="C79E5B"/>
          <w:sz w:val="28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大事件营销类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别克全新旗舰 MPV 世纪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新车上市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别克 GL8 自 1999 年面世，历经五代革新，已赢得百万用户青睐，而真正做到深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耕中国 MPV 市场的别克更是趁着高端化的风潮，推出别克世纪车型，再一次向着“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成为市场标杆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 xml:space="preserve">”迈进。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GL8在国内MPV市场一直起到引领作用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别克世纪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通过</w:t>
      </w:r>
      <w:r>
        <w:rPr>
          <w:rFonts w:hint="eastAsia" w:ascii="微软雅黑" w:hAnsi="微软雅黑" w:eastAsia="微软雅黑"/>
          <w:sz w:val="21"/>
          <w:szCs w:val="21"/>
        </w:rPr>
        <w:t>品牌本身的技术积累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以及</w:t>
      </w:r>
      <w:r>
        <w:rPr>
          <w:rFonts w:hint="eastAsia" w:ascii="微软雅黑" w:hAnsi="微软雅黑" w:eastAsia="微软雅黑"/>
          <w:sz w:val="21"/>
          <w:szCs w:val="21"/>
        </w:rPr>
        <w:t>对中国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用户需求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深刻理解</w:t>
      </w:r>
      <w:r>
        <w:rPr>
          <w:rFonts w:hint="eastAsia" w:ascii="微软雅黑" w:hAnsi="微软雅黑" w:eastAsia="微软雅黑"/>
          <w:sz w:val="21"/>
          <w:szCs w:val="21"/>
        </w:rPr>
        <w:t>，重新定义豪华旗舰MPV。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而它之</w:t>
      </w:r>
      <w:r>
        <w:rPr>
          <w:rFonts w:hint="eastAsia" w:ascii="微软雅黑" w:hAnsi="微软雅黑" w:eastAsia="微软雅黑"/>
          <w:sz w:val="21"/>
          <w:szCs w:val="21"/>
        </w:rPr>
        <w:t>所以受国人青睐，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不仅是</w:t>
      </w:r>
      <w:r>
        <w:rPr>
          <w:rFonts w:hint="eastAsia" w:ascii="微软雅黑" w:hAnsi="微软雅黑" w:eastAsia="微软雅黑"/>
          <w:sz w:val="21"/>
          <w:szCs w:val="21"/>
        </w:rPr>
        <w:t>产品本身实力过硬，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更是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以人为本的细节体验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严苛的安全标准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要求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而这些也是别克三盾标所传递的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核心产品内涵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在众多MPV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车型扎堆上市</w:t>
      </w:r>
      <w:r>
        <w:rPr>
          <w:rFonts w:hint="eastAsia" w:ascii="微软雅黑" w:hAnsi="微软雅黑" w:eastAsia="微软雅黑"/>
          <w:sz w:val="21"/>
          <w:szCs w:val="21"/>
        </w:rPr>
        <w:t>的背景下，如何通过媒介手段助力世纪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突出重围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通过本次上市为别克品牌及世纪车型精细化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沉淀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品牌私域资产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扩容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更多人群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3.借助</w:t>
      </w:r>
      <w:r>
        <w:rPr>
          <w:rFonts w:hint="eastAsia" w:ascii="微软雅黑" w:hAnsi="微软雅黑" w:eastAsia="微软雅黑"/>
          <w:sz w:val="21"/>
          <w:szCs w:val="21"/>
        </w:rPr>
        <w:t>平台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有效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曝光新车</w:t>
      </w:r>
      <w:r>
        <w:rPr>
          <w:rFonts w:hint="eastAsia" w:ascii="微软雅黑" w:hAnsi="微软雅黑" w:eastAsia="微软雅黑"/>
          <w:sz w:val="21"/>
          <w:szCs w:val="21"/>
        </w:rPr>
        <w:t>，同时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建设</w:t>
      </w:r>
      <w:r>
        <w:rPr>
          <w:rFonts w:hint="eastAsia" w:ascii="微软雅黑" w:hAnsi="微软雅黑" w:eastAsia="微软雅黑"/>
          <w:sz w:val="21"/>
          <w:szCs w:val="21"/>
        </w:rPr>
        <w:t>世纪在MPV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行业的标杆形象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案例视频</w:t>
      </w: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instrText xml:space="preserve"> HYPERLINK "https://www.bilibili.com/video/BV1Gj411K7sZ/?spm_id_from=333.999.0.0&amp;vd_source=3a0e412b6307e0c55fabf40eb6967aac" </w:instrTex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separate"/>
      </w:r>
      <w:r>
        <w:rPr>
          <w:rStyle w:val="18"/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https://www.bilibili.com/video/BV1Gj411K7sZ/?spm_id_from=333.999.0.0&amp;vd_source=3a0e412b6307e0c55fabf40eb6967aac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通过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话题组合</w:t>
      </w:r>
      <w:r>
        <w:rPr>
          <w:rFonts w:hint="eastAsia" w:ascii="微软雅黑" w:hAnsi="微软雅黑" w:eastAsia="微软雅黑"/>
          <w:sz w:val="21"/>
          <w:szCs w:val="21"/>
        </w:rPr>
        <w:t>模式，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通过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分时分策略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多维度多圈层背书</w:t>
      </w:r>
      <w:r>
        <w:rPr>
          <w:rFonts w:hint="eastAsia" w:ascii="微软雅黑" w:hAnsi="微软雅黑" w:eastAsia="微软雅黑"/>
          <w:sz w:val="21"/>
          <w:szCs w:val="21"/>
        </w:rPr>
        <w:t>世纪豪华MPV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标杆形象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drawing>
          <wp:inline distT="0" distB="0" distL="114300" distR="114300">
            <wp:extent cx="5714365" cy="2348230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r="409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t>以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曝光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资源+多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频道差异化话题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+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精准媒介</w:t>
      </w:r>
      <w:r>
        <w:rPr>
          <w:rFonts w:hint="eastAsia" w:ascii="微软雅黑" w:hAnsi="微软雅黑" w:eastAsia="微软雅黑"/>
          <w:sz w:val="21"/>
          <w:szCs w:val="21"/>
        </w:rPr>
        <w:t>三大组合投放模式，助力别克世纪上市实现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社交引爆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drawing>
          <wp:inline distT="0" distB="0" distL="114300" distR="114300">
            <wp:extent cx="5535295" cy="2228850"/>
            <wp:effectExtent l="0" t="0" r="190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1.上市发布前24H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，新浪汽车率先搭起车型与用户的沟通桥梁，配合2大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垂类话题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运营，树立车型豪华、标杆的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标签认知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。 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18175" cy="2516505"/>
            <wp:effectExtent l="0" t="0" r="9525" b="10795"/>
            <wp:docPr id="6" name="图片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4"/>
                    <pic:cNvPicPr>
                      <a:picLocks noChangeAspect="1"/>
                    </pic:cNvPicPr>
                  </pic:nvPicPr>
                  <pic:blipFill>
                    <a:blip r:embed="rId12"/>
                    <a:srcRect t="3159" b="18640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上市当天24H：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11月3日，别克世纪携手汽车、媒体、旅游领域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共建热点话题矩阵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，从车型定位、车型售价、用车场景等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多维种草车型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600700" cy="2501265"/>
            <wp:effectExtent l="0" t="0" r="0" b="6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新浪汽车更是发挥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内容运维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能力，矩阵账号、圈层 KOL 跟随发布会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解读世纪车型配置亮点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，实现#啥别克要68 万#、#成功人士在车里躺着卷#、#那些逢人必推的百科全书#三大话题上榜。 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592445" cy="2733675"/>
            <wp:effectExtent l="0" t="0" r="8255" b="9525"/>
            <wp:docPr id="8" name="图片 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05"/>
                    <pic:cNvPicPr>
                      <a:picLocks noChangeAspect="1"/>
                    </pic:cNvPicPr>
                  </pic:nvPicPr>
                  <pic:blipFill>
                    <a:blip r:embed="rId14"/>
                    <a:srcRect l="755" t="5434" r="875" b="9099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</w:t>
      </w:r>
      <w:bookmarkStart w:id="0" w:name="_GoBack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3.</w:t>
      </w:r>
      <w:bookmarkEnd w:id="0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发布会后24H：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新浪汽车联动媒体二度入局，通过发布会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精华内容再触达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，夯实世纪豪华、标杆标签，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延续上市热度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。 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584825" cy="2548890"/>
            <wp:effectExtent l="0" t="0" r="3175" b="3810"/>
            <wp:docPr id="2" name="图片 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9"/>
                    <pic:cNvPicPr>
                      <a:picLocks noChangeAspect="1"/>
                    </pic:cNvPicPr>
                  </pic:nvPicPr>
                  <pic:blipFill>
                    <a:blip r:embed="rId15"/>
                    <a:srcRect l="2729" t="8754" r="1730" b="13761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1"/>
          <w:szCs w:val="21"/>
          <w:lang w:val="en-US" w:eastAsia="zh-CN" w:bidi="ar"/>
        </w:rPr>
        <w:t>4.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1"/>
          <w:szCs w:val="21"/>
          <w:lang w:val="en-US" w:eastAsia="zh-CN" w:bidi="ar"/>
        </w:rPr>
        <w:t>项目全程：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贯彻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1"/>
          <w:szCs w:val="21"/>
          <w:lang w:val="en-US" w:eastAsia="zh-CN" w:bidi="ar"/>
        </w:rPr>
        <w:t>精细化人群沟通策略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，适配不同阶段营销目标与热点，</w:t>
      </w:r>
      <w:r>
        <w:rPr>
          <w:rFonts w:hint="eastAsia" w:ascii="微软雅黑" w:hAnsi="微软雅黑" w:eastAsia="微软雅黑" w:cs="微软雅黑"/>
          <w:sz w:val="21"/>
          <w:szCs w:val="21"/>
        </w:rPr>
        <w:t>通过超级粉丝通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精准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推送</w:t>
      </w:r>
      <w:r>
        <w:rPr>
          <w:rFonts w:hint="eastAsia" w:ascii="微软雅黑" w:hAnsi="微软雅黑" w:eastAsia="微软雅黑" w:cs="微软雅黑"/>
          <w:sz w:val="21"/>
          <w:szCs w:val="21"/>
        </w:rPr>
        <w:t>世纪优质素材，应用重定向功能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反复触达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用户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深化车型认知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  <w:r>
        <w:drawing>
          <wp:inline distT="0" distB="0" distL="114300" distR="114300">
            <wp:extent cx="5715000" cy="2432685"/>
            <wp:effectExtent l="0" t="0" r="0" b="571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pacing w:before="100" w:beforeAutospacing="1" w:after="100" w:afterAutospacing="1"/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声量引爆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：话题累计阅读量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12.8亿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，发布会直播观看量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1370万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，项目期别克品牌社交声量呈倍数攀升，提升了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41.5倍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  <w:r>
        <w:drawing>
          <wp:inline distT="0" distB="0" distL="114300" distR="114300">
            <wp:extent cx="4829175" cy="2064385"/>
            <wp:effectExtent l="0" t="0" r="9525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r="56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品牌认知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别克世纪成功刷新MPV行业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“标杆”形象</w:t>
      </w:r>
      <w:r>
        <w:rPr>
          <w:rFonts w:hint="eastAsia" w:ascii="微软雅黑" w:hAnsi="微软雅黑" w:eastAsia="微软雅黑" w:cs="微软雅黑"/>
          <w:sz w:val="21"/>
          <w:szCs w:val="21"/>
        </w:rPr>
        <w:t>，建设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“高端”“豪华”</w:t>
      </w:r>
      <w:r>
        <w:rPr>
          <w:rFonts w:hint="eastAsia" w:ascii="微软雅黑" w:hAnsi="微软雅黑" w:eastAsia="微软雅黑" w:cs="微软雅黑"/>
          <w:sz w:val="21"/>
          <w:szCs w:val="21"/>
        </w:rPr>
        <w:t>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正向车型标签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spacing w:before="100" w:beforeAutospacing="1" w:after="100" w:afterAutospacing="1"/>
      </w:pPr>
      <w:r>
        <w:drawing>
          <wp:inline distT="0" distB="0" distL="114300" distR="114300">
            <wp:extent cx="5420995" cy="2121535"/>
            <wp:effectExtent l="0" t="0" r="1905" b="1206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用户扩容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：经过本次项目投放别克及世纪均实现了兴趣人群扩容，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兴趣人群提升1081.12%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DEB43C6"/>
    <w:rsid w:val="248C037B"/>
    <w:rsid w:val="2B80248D"/>
    <w:rsid w:val="32590955"/>
    <w:rsid w:val="33A055A0"/>
    <w:rsid w:val="5F185833"/>
    <w:rsid w:val="7AF7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1121</Words>
  <Characters>1301</Characters>
  <Lines>7</Lines>
  <Paragraphs>2</Paragraphs>
  <TotalTime>3</TotalTime>
  <ScaleCrop>false</ScaleCrop>
  <LinksUpToDate>false</LinksUpToDate>
  <CharactersWithSpaces>1367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2023-02-15T07:44:35Z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05604EC7C2594A45814B919C99EA0991</vt:lpwstr>
  </property>
</Properties>
</file>