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1DF27D" w14:textId="77777777" w:rsidR="002B378B" w:rsidRDefault="00000000">
      <w:pPr>
        <w:spacing w:beforeLines="100" w:before="240" w:afterLines="100" w:after="240"/>
        <w:jc w:val="center"/>
        <w:textAlignment w:val="baseline"/>
        <w:rPr>
          <w:rFonts w:ascii="微软雅黑" w:eastAsia="微软雅黑" w:hAnsi="微软雅黑"/>
          <w:b/>
        </w:rPr>
      </w:pPr>
      <w:r>
        <w:rPr>
          <w:rFonts w:ascii="微软雅黑" w:eastAsia="微软雅黑" w:hAnsi="微软雅黑" w:hint="eastAsia"/>
          <w:b/>
          <w:sz w:val="32"/>
          <w:szCs w:val="32"/>
        </w:rPr>
        <w:t>优酷</w:t>
      </w:r>
    </w:p>
    <w:p w14:paraId="69ECA263" w14:textId="01DEBFF8" w:rsidR="002B378B" w:rsidRDefault="00000000">
      <w:pPr>
        <w:rPr>
          <w:rFonts w:ascii="微软雅黑" w:eastAsia="微软雅黑" w:hAnsi="微软雅黑"/>
          <w:b/>
        </w:rPr>
      </w:pPr>
      <w:r>
        <w:rPr>
          <w:rFonts w:ascii="微软雅黑" w:eastAsia="微软雅黑" w:hAnsi="微软雅黑" w:hint="eastAsia"/>
          <w:b/>
          <w:bCs/>
        </w:rPr>
        <w:t>所属类型</w:t>
      </w:r>
      <w:r>
        <w:rPr>
          <w:rFonts w:ascii="微软雅黑" w:eastAsia="微软雅黑" w:hAnsi="微软雅黑" w:hint="eastAsia"/>
          <w:b/>
        </w:rPr>
        <w:t>：</w:t>
      </w:r>
      <w:r w:rsidR="00CD4DD8" w:rsidRPr="00CD4DD8">
        <w:rPr>
          <w:rFonts w:ascii="微软雅黑" w:eastAsia="微软雅黑" w:hAnsi="微软雅黑" w:hint="eastAsia"/>
          <w:bCs/>
        </w:rPr>
        <w:t>平台</w:t>
      </w:r>
      <w:r>
        <w:rPr>
          <w:rFonts w:ascii="微软雅黑" w:eastAsia="微软雅黑" w:hAnsi="微软雅黑" w:hint="eastAsia"/>
          <w:kern w:val="0"/>
        </w:rPr>
        <w:t xml:space="preserve"> </w:t>
      </w:r>
    </w:p>
    <w:p w14:paraId="75AF7246" w14:textId="77777777" w:rsidR="00CD4DD8" w:rsidRDefault="00000000" w:rsidP="00CD4DD8">
      <w:pPr>
        <w:rPr>
          <w:rFonts w:ascii="微软雅黑" w:eastAsia="微软雅黑" w:hAnsi="微软雅黑"/>
          <w:color w:val="FF0000"/>
        </w:rPr>
      </w:pPr>
      <w:r>
        <w:rPr>
          <w:rFonts w:ascii="微软雅黑" w:eastAsia="微软雅黑" w:hAnsi="微软雅黑" w:hint="eastAsia"/>
          <w:b/>
        </w:rPr>
        <w:t>参选类别：</w:t>
      </w:r>
      <w:r w:rsidR="00CD4DD8" w:rsidRPr="00CD4DD8">
        <w:rPr>
          <w:rFonts w:ascii="微软雅黑" w:eastAsia="微软雅黑" w:hAnsi="微软雅黑" w:hint="eastAsia"/>
          <w:bCs/>
        </w:rPr>
        <w:t>年度数字营销影响力互联网媒体/平台</w:t>
      </w:r>
    </w:p>
    <w:p w14:paraId="6E458201" w14:textId="727B0D05" w:rsidR="002B378B" w:rsidRDefault="00000000" w:rsidP="00CD4DD8">
      <w:pPr>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简介及核心优势</w:t>
      </w:r>
    </w:p>
    <w:p w14:paraId="7B99565F" w14:textId="77777777" w:rsidR="002B378B" w:rsidRDefault="00000000" w:rsidP="00FC0D6C">
      <w:pPr>
        <w:spacing w:before="100" w:beforeAutospacing="1" w:after="100" w:afterAutospacing="1"/>
        <w:rPr>
          <w:rFonts w:ascii="微软雅黑" w:eastAsia="微软雅黑" w:hAnsi="微软雅黑"/>
          <w:bCs/>
        </w:rPr>
      </w:pPr>
      <w:r>
        <w:rPr>
          <w:rFonts w:ascii="微软雅黑" w:eastAsia="微软雅黑" w:hAnsi="微软雅黑" w:hint="eastAsia"/>
        </w:rPr>
        <w:t>优酷创办于2006年，是阿里巴巴文化娱乐集团的核心用户引擎，是中国领先的在线视频平台，现支持PC、电视、移动三大终端，兼版权、合制、自制、UGC、PGC及直播等多种内容形态。优酷以“为好内容全力以赴”为平台主张，凝聚全平台力量，坚定不移为用户长期、稳定推出好内容。</w:t>
      </w:r>
    </w:p>
    <w:p w14:paraId="44937E03" w14:textId="77777777" w:rsidR="002B378B" w:rsidRDefault="00000000" w:rsidP="00FC0D6C">
      <w:pPr>
        <w:spacing w:before="100" w:beforeAutospacing="1" w:after="100" w:afterAutospacing="1"/>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数字营销领域突出成绩</w:t>
      </w:r>
    </w:p>
    <w:p w14:paraId="69560A89" w14:textId="77777777" w:rsidR="002B378B" w:rsidRDefault="00000000" w:rsidP="00FC0D6C">
      <w:pPr>
        <w:spacing w:before="100" w:beforeAutospacing="1" w:after="100" w:afterAutospacing="1"/>
        <w:rPr>
          <w:rFonts w:ascii="微软雅黑" w:eastAsia="微软雅黑" w:hAnsi="微软雅黑"/>
        </w:rPr>
      </w:pPr>
      <w:r>
        <w:rPr>
          <w:rFonts w:ascii="微软雅黑" w:eastAsia="微软雅黑" w:hAnsi="微软雅黑" w:hint="eastAsia"/>
        </w:rPr>
        <w:t>优酷是阿里巴巴文化娱乐集团的核心用户引擎，是中国领先的在线视频平台。2022年优酷以用户为核心，用精品回应用户热爱，以创新的营销为品牌增长助力。</w:t>
      </w:r>
    </w:p>
    <w:p w14:paraId="24DF149F" w14:textId="77777777" w:rsidR="002B378B" w:rsidRDefault="00000000" w:rsidP="00FC0D6C">
      <w:pPr>
        <w:numPr>
          <w:ilvl w:val="0"/>
          <w:numId w:val="1"/>
        </w:numPr>
        <w:spacing w:before="100" w:beforeAutospacing="1" w:after="100" w:afterAutospacing="1"/>
        <w:rPr>
          <w:rFonts w:ascii="微软雅黑" w:eastAsia="微软雅黑" w:hAnsi="微软雅黑"/>
        </w:rPr>
      </w:pPr>
      <w:r>
        <w:rPr>
          <w:rFonts w:ascii="微软雅黑" w:eastAsia="微软雅黑" w:hAnsi="微软雅黑" w:hint="eastAsia"/>
          <w:b/>
          <w:bCs/>
        </w:rPr>
        <w:t>内容创作层面：</w:t>
      </w:r>
    </w:p>
    <w:p w14:paraId="1D26CBFD" w14:textId="77777777" w:rsidR="002B378B" w:rsidRDefault="00000000" w:rsidP="00FC0D6C">
      <w:pPr>
        <w:spacing w:before="100" w:beforeAutospacing="1" w:after="100" w:afterAutospacing="1"/>
        <w:rPr>
          <w:rFonts w:ascii="微软雅黑" w:eastAsia="微软雅黑" w:hAnsi="微软雅黑"/>
        </w:rPr>
      </w:pPr>
      <w:r>
        <w:rPr>
          <w:rFonts w:ascii="微软雅黑" w:eastAsia="微软雅黑" w:hAnsi="微软雅黑" w:hint="eastAsia"/>
        </w:rPr>
        <w:t>通过一套完善的供应链体系及拥有稳定生产力的制作团队，来提升优质内容生产的确定性，涌现出《小敏家》《与君初相识·恰似故人归》《幸福到万家》《点燃我，温暖你》《怦然心动20岁2》《这！就是街舞5》《无限超越班》《不要回答》《闪耀吧！中华文明》等优质内容，实现了平台的全速超车。第三方报告显示，2022年上半年优酷网综新节目合作品牌数和暑期档独播剧合作品牌数位列行业TOP1、2022年上半年优酷新剧播放市占率以41% 领先行业、优酷人文豆瓣评分9分以上作品高达40%。优质内容的持续到来让平台驶入热周期，Quest Mobile数据显示，自2021年10月至今，优酷日均用户数连续13个月同比增长，其中7月份更是高达26%。另据阿里巴巴发布的2023财年Q2（2022年7月1日至9月30日）财报，优酷日均付费用户规模同比增长8%。在持续升温的大屏领域，奥维云网数据显示CIBN酷喵影视（优酷TV版）在2022年Q1期间日活终端数最高直逼4000万台，多次拿下行业第一。</w:t>
      </w:r>
    </w:p>
    <w:p w14:paraId="746C7389" w14:textId="77777777" w:rsidR="002B378B" w:rsidRDefault="00000000" w:rsidP="00FC0D6C">
      <w:pPr>
        <w:spacing w:before="100" w:beforeAutospacing="1" w:after="100" w:afterAutospacing="1"/>
        <w:rPr>
          <w:rFonts w:ascii="微软雅黑" w:eastAsia="微软雅黑" w:hAnsi="微软雅黑"/>
          <w:b/>
          <w:bCs/>
        </w:rPr>
      </w:pPr>
      <w:r>
        <w:rPr>
          <w:rFonts w:ascii="微软雅黑" w:eastAsia="微软雅黑" w:hAnsi="微软雅黑" w:hint="eastAsia"/>
          <w:b/>
          <w:bCs/>
        </w:rPr>
        <w:t>2023年优酷确立了“为好内容全力以赴”的全新平台主张，直接将其对“精品化”内容的追求外化为平台品牌主张，将坚定不移的打造品质内容生产生态，持续为行业带来好内容。</w:t>
      </w:r>
    </w:p>
    <w:p w14:paraId="7F994BAC" w14:textId="77777777" w:rsidR="002B378B" w:rsidRDefault="00000000" w:rsidP="00FC0D6C">
      <w:pPr>
        <w:spacing w:before="100" w:beforeAutospacing="1" w:after="100" w:afterAutospacing="1"/>
        <w:jc w:val="center"/>
        <w:rPr>
          <w:rFonts w:ascii="微软雅黑" w:eastAsia="微软雅黑" w:hAnsi="微软雅黑"/>
          <w:b/>
          <w:bCs/>
        </w:rPr>
      </w:pPr>
      <w:r>
        <w:rPr>
          <w:rFonts w:ascii="微软雅黑" w:eastAsia="微软雅黑" w:hAnsi="微软雅黑" w:hint="eastAsia"/>
          <w:b/>
          <w:bCs/>
          <w:noProof/>
        </w:rPr>
        <w:lastRenderedPageBreak/>
        <w:drawing>
          <wp:inline distT="0" distB="0" distL="114300" distR="114300" wp14:anchorId="30AC53DD" wp14:editId="5E1A05CC">
            <wp:extent cx="3132455" cy="5568950"/>
            <wp:effectExtent l="0" t="0" r="4445" b="6350"/>
            <wp:docPr id="1" name="图片 1" descr="8763d883dbb6a62e0e0c61b98522cd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763d883dbb6a62e0e0c61b98522cd47"/>
                    <pic:cNvPicPr>
                      <a:picLocks noChangeAspect="1"/>
                    </pic:cNvPicPr>
                  </pic:nvPicPr>
                  <pic:blipFill>
                    <a:blip r:embed="rId8"/>
                    <a:stretch>
                      <a:fillRect/>
                    </a:stretch>
                  </pic:blipFill>
                  <pic:spPr>
                    <a:xfrm>
                      <a:off x="0" y="0"/>
                      <a:ext cx="3132455" cy="5568950"/>
                    </a:xfrm>
                    <a:prstGeom prst="rect">
                      <a:avLst/>
                    </a:prstGeom>
                  </pic:spPr>
                </pic:pic>
              </a:graphicData>
            </a:graphic>
          </wp:inline>
        </w:drawing>
      </w:r>
    </w:p>
    <w:p w14:paraId="36F8FDE5" w14:textId="77777777" w:rsidR="002B378B" w:rsidRDefault="00000000" w:rsidP="00FC0D6C">
      <w:pPr>
        <w:numPr>
          <w:ilvl w:val="0"/>
          <w:numId w:val="2"/>
        </w:numPr>
        <w:spacing w:before="100" w:beforeAutospacing="1" w:after="100" w:afterAutospacing="1"/>
        <w:rPr>
          <w:rFonts w:ascii="微软雅黑" w:eastAsia="微软雅黑" w:hAnsi="微软雅黑"/>
        </w:rPr>
      </w:pPr>
      <w:r>
        <w:rPr>
          <w:rFonts w:ascii="微软雅黑" w:eastAsia="微软雅黑" w:hAnsi="微软雅黑" w:hint="eastAsia"/>
          <w:b/>
          <w:bCs/>
        </w:rPr>
        <w:t>营销创新层面：</w:t>
      </w:r>
    </w:p>
    <w:p w14:paraId="09311023" w14:textId="77777777" w:rsidR="002B378B" w:rsidRDefault="00000000" w:rsidP="00FC0D6C">
      <w:pPr>
        <w:spacing w:before="100" w:beforeAutospacing="1" w:after="100" w:afterAutospacing="1"/>
        <w:rPr>
          <w:rFonts w:ascii="微软雅黑" w:eastAsia="微软雅黑" w:hAnsi="微软雅黑"/>
        </w:rPr>
      </w:pPr>
      <w:r>
        <w:rPr>
          <w:rFonts w:ascii="微软雅黑" w:eastAsia="微软雅黑" w:hAnsi="微软雅黑" w:hint="eastAsia"/>
        </w:rPr>
        <w:t>基于优质内容的持续爆发，优酷以创新为底层逻辑，深化IP全链路营销模式，携手合作品牌开创新商业模式。</w:t>
      </w:r>
    </w:p>
    <w:p w14:paraId="3A44CF4E" w14:textId="77777777" w:rsidR="002B378B" w:rsidRDefault="00000000" w:rsidP="00FC0D6C">
      <w:pPr>
        <w:spacing w:before="100" w:beforeAutospacing="1" w:after="100" w:afterAutospacing="1"/>
        <w:rPr>
          <w:rFonts w:ascii="微软雅黑" w:eastAsia="微软雅黑" w:hAnsi="微软雅黑"/>
        </w:rPr>
      </w:pPr>
      <w:r>
        <w:rPr>
          <w:rFonts w:ascii="微软雅黑" w:eastAsia="微软雅黑" w:hAnsi="微软雅黑" w:hint="eastAsia"/>
          <w:b/>
          <w:bCs/>
        </w:rPr>
        <w:t>1、产品创新提升投放效率。</w:t>
      </w:r>
      <w:r>
        <w:rPr>
          <w:rFonts w:ascii="微软雅黑" w:eastAsia="微软雅黑" w:hAnsi="微软雅黑" w:hint="eastAsia"/>
        </w:rPr>
        <w:t>优酷持续持续提升创新品产的精准投放能力和展现形式，新创「内生定投」、优酷OTT「投屏互动广告」、优酷OTT「</w:t>
      </w:r>
      <w:proofErr w:type="spellStart"/>
      <w:r>
        <w:rPr>
          <w:rFonts w:ascii="微软雅黑" w:eastAsia="微软雅黑" w:hAnsi="微软雅黑" w:hint="eastAsia"/>
        </w:rPr>
        <w:t>Umax</w:t>
      </w:r>
      <w:proofErr w:type="spellEnd"/>
      <w:r>
        <w:rPr>
          <w:rFonts w:ascii="微软雅黑" w:eastAsia="微软雅黑" w:hAnsi="微软雅黑" w:hint="eastAsia"/>
        </w:rPr>
        <w:t>」等创新产品，构建覆盖用户行为全路径的广告投放产品体系，让平台海量优质内容带来的流量最大限度转化为品牌的营销势能。自上线以来，优酷「内生定投」广告的品牌复购率超过50%；2022年优酷OTT「投屏互动广告」就累计服务50家品牌。</w:t>
      </w:r>
    </w:p>
    <w:p w14:paraId="7CD1ACD6" w14:textId="77777777" w:rsidR="002B378B" w:rsidRDefault="00000000" w:rsidP="00FC0D6C">
      <w:pPr>
        <w:spacing w:before="100" w:beforeAutospacing="1" w:after="100" w:afterAutospacing="1"/>
        <w:rPr>
          <w:rFonts w:ascii="微软雅黑" w:eastAsia="微软雅黑" w:hAnsi="微软雅黑"/>
          <w:b/>
        </w:rPr>
      </w:pPr>
      <w:r>
        <w:rPr>
          <w:rFonts w:ascii="微软雅黑" w:eastAsia="微软雅黑" w:hAnsi="微软雅黑" w:hint="eastAsia"/>
          <w:b/>
          <w:bCs/>
        </w:rPr>
        <w:t>2</w:t>
      </w:r>
      <w:r w:rsidR="00FC0D6C">
        <w:rPr>
          <w:rFonts w:ascii="微软雅黑" w:eastAsia="微软雅黑" w:hAnsi="微软雅黑" w:hint="eastAsia"/>
          <w:b/>
          <w:bCs/>
        </w:rPr>
        <w:t>、</w:t>
      </w:r>
      <w:r>
        <w:rPr>
          <w:rFonts w:ascii="微软雅黑" w:eastAsia="微软雅黑" w:hAnsi="微软雅黑" w:hint="eastAsia"/>
          <w:b/>
          <w:bCs/>
        </w:rPr>
        <w:t>IP全链路营销提振生意效能。</w:t>
      </w:r>
      <w:r>
        <w:rPr>
          <w:rFonts w:ascii="微软雅黑" w:eastAsia="微软雅黑" w:hAnsi="微软雅黑" w:hint="eastAsia"/>
        </w:rPr>
        <w:t>基于优质内容流量和创新产品营销价值，优酷以IP为圆心联动阿里生态淘宝、天猫、饿了么、盒马、天猫校园等电商场、新零售场景，帮助品牌进行构建传播、互动、体验、购买的多元立体场景，赋能品牌短期的生意效能和长期的品牌力沉淀。2022年，优酷携手合作品牌打造的创新营销累计斩获金投赏、IAI、虎啸奖、金触点等行业奖项在内的182个奖</w:t>
      </w:r>
      <w:r>
        <w:rPr>
          <w:rFonts w:ascii="微软雅黑" w:eastAsia="微软雅黑" w:hAnsi="微软雅黑" w:hint="eastAsia"/>
        </w:rPr>
        <w:lastRenderedPageBreak/>
        <w:t>项。</w:t>
      </w:r>
    </w:p>
    <w:p w14:paraId="12E09537" w14:textId="77777777" w:rsidR="002B378B" w:rsidRDefault="00000000" w:rsidP="00FC0D6C">
      <w:pPr>
        <w:spacing w:before="100" w:beforeAutospacing="1" w:after="100" w:afterAutospacing="1"/>
        <w:rPr>
          <w:rFonts w:ascii="微软雅黑" w:eastAsia="微软雅黑" w:hAnsi="微软雅黑" w:cs="宋体"/>
          <w:b/>
          <w:color w:val="C79E5B"/>
          <w:kern w:val="0"/>
          <w:sz w:val="28"/>
          <w:szCs w:val="24"/>
        </w:rPr>
      </w:pPr>
      <w:r>
        <w:rPr>
          <w:rFonts w:ascii="微软雅黑" w:eastAsia="微软雅黑" w:hAnsi="微软雅黑" w:cs="宋体" w:hint="eastAsia"/>
          <w:b/>
          <w:color w:val="C79E5B"/>
          <w:kern w:val="0"/>
          <w:sz w:val="28"/>
          <w:szCs w:val="24"/>
        </w:rPr>
        <w:t>服务的主要客户</w:t>
      </w:r>
    </w:p>
    <w:p w14:paraId="4CC9220A" w14:textId="77777777" w:rsidR="002B378B" w:rsidRDefault="00000000" w:rsidP="00FC0D6C">
      <w:pPr>
        <w:spacing w:before="100" w:beforeAutospacing="1" w:after="100" w:afterAutospacing="1"/>
        <w:jc w:val="left"/>
        <w:rPr>
          <w:rFonts w:ascii="微软雅黑" w:eastAsia="微软雅黑" w:hAnsi="微软雅黑"/>
        </w:rPr>
      </w:pPr>
      <w:r>
        <w:rPr>
          <w:rFonts w:ascii="微软雅黑" w:eastAsia="微软雅黑" w:hAnsi="微软雅黑" w:hint="eastAsia"/>
        </w:rPr>
        <w:t>主要服务客户：勇闯天涯</w:t>
      </w:r>
      <w:proofErr w:type="spellStart"/>
      <w:r>
        <w:rPr>
          <w:rFonts w:ascii="微软雅黑" w:eastAsia="微软雅黑" w:hAnsi="微软雅黑" w:hint="eastAsia"/>
        </w:rPr>
        <w:t>superX</w:t>
      </w:r>
      <w:proofErr w:type="spellEnd"/>
      <w:r>
        <w:rPr>
          <w:rFonts w:ascii="微软雅黑" w:eastAsia="微软雅黑" w:hAnsi="微软雅黑" w:hint="eastAsia"/>
        </w:rPr>
        <w:t>、必胜客、肯德基、须尽欢、三星、纯甄、胡姬花、王小卤、泸州老窖、戴森、海蓝之谜、雅诗兰黛、皇家美素佳儿、喜临门等快消、3C、美妆、白酒品牌。</w:t>
      </w:r>
    </w:p>
    <w:p w14:paraId="5B2BC946" w14:textId="77777777" w:rsidR="002B378B" w:rsidRDefault="00000000" w:rsidP="00FC0D6C">
      <w:pPr>
        <w:spacing w:before="100" w:beforeAutospacing="1" w:after="100" w:afterAutospacing="1"/>
        <w:jc w:val="left"/>
        <w:rPr>
          <w:rFonts w:ascii="微软雅黑" w:eastAsia="微软雅黑" w:hAnsi="微软雅黑"/>
        </w:rPr>
      </w:pPr>
      <w:r>
        <w:rPr>
          <w:rFonts w:ascii="微软雅黑" w:eastAsia="微软雅黑" w:hAnsi="微软雅黑" w:hint="eastAsia"/>
        </w:rPr>
        <w:t>代表案例：</w:t>
      </w:r>
    </w:p>
    <w:p w14:paraId="39D574FF" w14:textId="77777777" w:rsidR="002B378B" w:rsidRDefault="00FC0D6C" w:rsidP="00FC0D6C">
      <w:pPr>
        <w:spacing w:before="100" w:beforeAutospacing="1" w:after="100" w:afterAutospacing="1"/>
        <w:jc w:val="left"/>
        <w:rPr>
          <w:rFonts w:ascii="微软雅黑" w:eastAsia="微软雅黑" w:hAnsi="微软雅黑"/>
        </w:rPr>
      </w:pPr>
      <w:r>
        <w:rPr>
          <w:rFonts w:ascii="微软雅黑" w:eastAsia="微软雅黑" w:hAnsi="微软雅黑" w:hint="eastAsia"/>
        </w:rPr>
        <w:t>1、勇闯天涯</w:t>
      </w:r>
      <w:proofErr w:type="spellStart"/>
      <w:r>
        <w:rPr>
          <w:rFonts w:ascii="微软雅黑" w:eastAsia="微软雅黑" w:hAnsi="微软雅黑" w:hint="eastAsia"/>
        </w:rPr>
        <w:t>superX</w:t>
      </w:r>
      <w:proofErr w:type="spellEnd"/>
      <w:r>
        <w:rPr>
          <w:rFonts w:ascii="微软雅黑" w:eastAsia="微软雅黑" w:hAnsi="微软雅黑" w:hint="eastAsia"/>
        </w:rPr>
        <w:t xml:space="preserve"> 《这！就是街舞》四连冠：节目内依托街舞IP完成品牌破圈，节目外拉通阿里生态经济体构建全链路品效销通路。在第四次合作中，双方还新创元宇宙营销，探索“数字人”、“数字藏品”和“数字场景”等玩法，在勇闯天涯</w:t>
      </w:r>
      <w:proofErr w:type="spellStart"/>
      <w:r>
        <w:rPr>
          <w:rFonts w:ascii="微软雅黑" w:eastAsia="微软雅黑" w:hAnsi="微软雅黑" w:hint="eastAsia"/>
        </w:rPr>
        <w:t>superX</w:t>
      </w:r>
      <w:proofErr w:type="spellEnd"/>
      <w:r>
        <w:rPr>
          <w:rFonts w:ascii="微软雅黑" w:eastAsia="微软雅黑" w:hAnsi="微软雅黑" w:hint="eastAsia"/>
        </w:rPr>
        <w:t>与饿了么共创的“Battle了么大玩家”会场中，勇闯天涯</w:t>
      </w:r>
      <w:proofErr w:type="spellStart"/>
      <w:r>
        <w:rPr>
          <w:rFonts w:ascii="微软雅黑" w:eastAsia="微软雅黑" w:hAnsi="微软雅黑" w:hint="eastAsia"/>
        </w:rPr>
        <w:t>superX</w:t>
      </w:r>
      <w:proofErr w:type="spellEnd"/>
      <w:r>
        <w:rPr>
          <w:rFonts w:ascii="微软雅黑" w:eastAsia="微软雅黑" w:hAnsi="微软雅黑" w:hint="eastAsia"/>
        </w:rPr>
        <w:t>定制的10000份NFT4天内一抢而空。</w:t>
      </w:r>
    </w:p>
    <w:p w14:paraId="4CF62A0F" w14:textId="77777777" w:rsidR="002B378B" w:rsidRPr="00FC0D6C" w:rsidRDefault="00FC0D6C" w:rsidP="00FC0D6C">
      <w:pPr>
        <w:spacing w:before="100" w:beforeAutospacing="1" w:after="100" w:afterAutospacing="1"/>
        <w:jc w:val="left"/>
        <w:rPr>
          <w:rFonts w:ascii="微软雅黑" w:eastAsia="微软雅黑" w:hAnsi="微软雅黑"/>
        </w:rPr>
      </w:pPr>
      <w:r>
        <w:rPr>
          <w:rFonts w:ascii="微软雅黑" w:eastAsia="微软雅黑" w:hAnsi="微软雅黑"/>
        </w:rPr>
        <w:t>2</w:t>
      </w:r>
      <w:r>
        <w:rPr>
          <w:rFonts w:ascii="微软雅黑" w:eastAsia="微软雅黑" w:hAnsi="微软雅黑" w:hint="eastAsia"/>
        </w:rPr>
        <w:t>、必胜客&amp;《小敏家》“看-吃-囤”全链路大剧营销：品牌新品烤肠卷边比萨联合《小敏家》IP打造的联名套餐，销量达成本场超级品牌日top3；淘宝头部主播烈儿宝贝直播间（食品专场）、李佳琦直播间（年货节专场）达成百万电商转化。</w:t>
      </w:r>
    </w:p>
    <w:p w14:paraId="1AB86FF9" w14:textId="77777777" w:rsidR="002B378B" w:rsidRDefault="00FC0D6C" w:rsidP="00FC0D6C">
      <w:pPr>
        <w:spacing w:before="100" w:beforeAutospacing="1" w:after="100" w:afterAutospacing="1"/>
        <w:jc w:val="left"/>
        <w:rPr>
          <w:rFonts w:ascii="微软雅黑" w:eastAsia="微软雅黑" w:hAnsi="微软雅黑"/>
        </w:rPr>
      </w:pPr>
      <w:r>
        <w:rPr>
          <w:rFonts w:ascii="微软雅黑" w:eastAsia="微软雅黑" w:hAnsi="微软雅黑" w:hint="eastAsia"/>
        </w:rPr>
        <w:t>3、胡姬花《麻花特开心》“特香特开心”年货品效标杆：胡姬花品牌知晓度高达84%，品牌好感度高达81%；年货节期间淘内15天后链路新客占比达80%+。</w:t>
      </w:r>
    </w:p>
    <w:sectPr w:rsidR="002B378B">
      <w:headerReference w:type="even" r:id="rId9"/>
      <w:headerReference w:type="default" r:id="rId10"/>
      <w:footerReference w:type="even" r:id="rId11"/>
      <w:footerReference w:type="default" r:id="rId12"/>
      <w:headerReference w:type="first" r:id="rId13"/>
      <w:footerReference w:type="first" r:id="rId14"/>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97008" w14:textId="77777777" w:rsidR="00E47CD6" w:rsidRDefault="00E47CD6">
      <w:r>
        <w:separator/>
      </w:r>
    </w:p>
  </w:endnote>
  <w:endnote w:type="continuationSeparator" w:id="0">
    <w:p w14:paraId="4C1048D8" w14:textId="77777777" w:rsidR="00E47CD6" w:rsidRDefault="00E4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BED88" w14:textId="77777777" w:rsidR="002B378B" w:rsidRDefault="00000000">
    <w:pPr>
      <w:pStyle w:val="a7"/>
      <w:framePr w:wrap="around" w:vAnchor="text" w:hAnchor="margin" w:xAlign="right" w:y="1"/>
      <w:rPr>
        <w:rStyle w:val="ad"/>
      </w:rPr>
    </w:pPr>
    <w:r>
      <w:fldChar w:fldCharType="begin"/>
    </w:r>
    <w:r>
      <w:rPr>
        <w:rStyle w:val="ad"/>
      </w:rPr>
      <w:instrText xml:space="preserve">PAGE  </w:instrText>
    </w:r>
    <w:r>
      <w:fldChar w:fldCharType="separate"/>
    </w:r>
    <w:r>
      <w:rPr>
        <w:rStyle w:val="ad"/>
      </w:rPr>
      <w:t>1</w:t>
    </w:r>
    <w:r>
      <w:fldChar w:fldCharType="end"/>
    </w:r>
  </w:p>
  <w:p w14:paraId="49546089" w14:textId="77777777" w:rsidR="002B378B" w:rsidRDefault="002B378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0B68" w14:textId="77777777" w:rsidR="002B378B" w:rsidRDefault="002B378B">
    <w:pPr>
      <w:pStyle w:val="a7"/>
      <w:framePr w:wrap="around" w:vAnchor="text" w:hAnchor="margin" w:xAlign="right" w:y="1"/>
      <w:rPr>
        <w:rStyle w:val="ad"/>
      </w:rPr>
    </w:pPr>
  </w:p>
  <w:p w14:paraId="27747A16" w14:textId="77777777" w:rsidR="002B378B" w:rsidRDefault="002B378B">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4EF7" w14:textId="77777777" w:rsidR="002B378B" w:rsidRDefault="002B37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2D2D" w14:textId="77777777" w:rsidR="00E47CD6" w:rsidRDefault="00E47CD6">
      <w:r>
        <w:separator/>
      </w:r>
    </w:p>
  </w:footnote>
  <w:footnote w:type="continuationSeparator" w:id="0">
    <w:p w14:paraId="455D13D8" w14:textId="77777777" w:rsidR="00E47CD6" w:rsidRDefault="00E4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8E9D" w14:textId="77777777" w:rsidR="002B378B" w:rsidRDefault="002B378B">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D5BE" w14:textId="77777777" w:rsidR="002B378B" w:rsidRDefault="00000000">
    <w:pPr>
      <w:pStyle w:val="a8"/>
      <w:jc w:val="both"/>
      <w:rPr>
        <w:rFonts w:ascii="微软雅黑" w:eastAsia="微软雅黑" w:hAnsi="微软雅黑"/>
        <w:sz w:val="21"/>
      </w:rPr>
    </w:pPr>
    <w:r>
      <w:rPr>
        <w:b/>
        <w:noProof/>
        <w:color w:val="333333"/>
        <w:sz w:val="21"/>
      </w:rPr>
      <w:drawing>
        <wp:inline distT="0" distB="0" distL="0" distR="0" wp14:anchorId="2118F50D" wp14:editId="557DC8FD">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14</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13FC" w14:textId="77777777" w:rsidR="002B378B" w:rsidRDefault="002B378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52EE76"/>
    <w:multiLevelType w:val="singleLevel"/>
    <w:tmpl w:val="C352EE76"/>
    <w:lvl w:ilvl="0">
      <w:start w:val="1"/>
      <w:numFmt w:val="bullet"/>
      <w:lvlText w:val=""/>
      <w:lvlJc w:val="left"/>
      <w:pPr>
        <w:ind w:left="420" w:hanging="420"/>
      </w:pPr>
      <w:rPr>
        <w:rFonts w:ascii="Wingdings" w:hAnsi="Wingdings" w:hint="default"/>
      </w:rPr>
    </w:lvl>
  </w:abstractNum>
  <w:abstractNum w:abstractNumId="1" w15:restartNumberingAfterBreak="0">
    <w:nsid w:val="5DE16082"/>
    <w:multiLevelType w:val="singleLevel"/>
    <w:tmpl w:val="5DE16082"/>
    <w:lvl w:ilvl="0">
      <w:start w:val="1"/>
      <w:numFmt w:val="bullet"/>
      <w:lvlText w:val=""/>
      <w:lvlJc w:val="left"/>
      <w:pPr>
        <w:ind w:left="420" w:hanging="420"/>
      </w:pPr>
      <w:rPr>
        <w:rFonts w:ascii="Wingdings" w:hAnsi="Wingdings" w:hint="default"/>
      </w:rPr>
    </w:lvl>
  </w:abstractNum>
  <w:num w:numId="1" w16cid:durableId="2114009526">
    <w:abstractNumId w:val="1"/>
  </w:num>
  <w:num w:numId="2" w16cid:durableId="524490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YwYTMzMDE4ZTU4MTM4MjE3NTNhZjEwYTk5N2YzOWYifQ=="/>
  </w:docVars>
  <w:rsids>
    <w:rsidRoot w:val="00172A27"/>
    <w:rsid w:val="0000069D"/>
    <w:rsid w:val="00004F1D"/>
    <w:rsid w:val="00044F04"/>
    <w:rsid w:val="000532E1"/>
    <w:rsid w:val="00056791"/>
    <w:rsid w:val="0006079A"/>
    <w:rsid w:val="000631F9"/>
    <w:rsid w:val="00071CE5"/>
    <w:rsid w:val="00077EC5"/>
    <w:rsid w:val="0008523E"/>
    <w:rsid w:val="00090FB3"/>
    <w:rsid w:val="000915E6"/>
    <w:rsid w:val="00097129"/>
    <w:rsid w:val="000979A5"/>
    <w:rsid w:val="000A78AD"/>
    <w:rsid w:val="000B0AC3"/>
    <w:rsid w:val="000D05FE"/>
    <w:rsid w:val="000E18A5"/>
    <w:rsid w:val="000E2A45"/>
    <w:rsid w:val="000F5168"/>
    <w:rsid w:val="000F63B2"/>
    <w:rsid w:val="00105103"/>
    <w:rsid w:val="00112736"/>
    <w:rsid w:val="00112AAF"/>
    <w:rsid w:val="00114DD5"/>
    <w:rsid w:val="001265C9"/>
    <w:rsid w:val="00131A61"/>
    <w:rsid w:val="00146A94"/>
    <w:rsid w:val="001540DA"/>
    <w:rsid w:val="001562B1"/>
    <w:rsid w:val="00160D3F"/>
    <w:rsid w:val="0016260F"/>
    <w:rsid w:val="001628EA"/>
    <w:rsid w:val="00172A27"/>
    <w:rsid w:val="001731D8"/>
    <w:rsid w:val="00176817"/>
    <w:rsid w:val="00177C44"/>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3D12"/>
    <w:rsid w:val="00274F8A"/>
    <w:rsid w:val="00290073"/>
    <w:rsid w:val="00290500"/>
    <w:rsid w:val="002A004E"/>
    <w:rsid w:val="002A7128"/>
    <w:rsid w:val="002B0CDA"/>
    <w:rsid w:val="002B378B"/>
    <w:rsid w:val="002B6C43"/>
    <w:rsid w:val="002E436F"/>
    <w:rsid w:val="002E5914"/>
    <w:rsid w:val="002F2AF3"/>
    <w:rsid w:val="002F7E7A"/>
    <w:rsid w:val="00303614"/>
    <w:rsid w:val="003056B8"/>
    <w:rsid w:val="00311DCD"/>
    <w:rsid w:val="00317BD4"/>
    <w:rsid w:val="00320B24"/>
    <w:rsid w:val="00320EF4"/>
    <w:rsid w:val="00334623"/>
    <w:rsid w:val="0034514F"/>
    <w:rsid w:val="00361FEC"/>
    <w:rsid w:val="00362043"/>
    <w:rsid w:val="00371D9E"/>
    <w:rsid w:val="00371F8B"/>
    <w:rsid w:val="00382E86"/>
    <w:rsid w:val="0038504C"/>
    <w:rsid w:val="00386E93"/>
    <w:rsid w:val="003A2FD7"/>
    <w:rsid w:val="003A3097"/>
    <w:rsid w:val="003A3802"/>
    <w:rsid w:val="003A46E3"/>
    <w:rsid w:val="003A7889"/>
    <w:rsid w:val="003C530C"/>
    <w:rsid w:val="003C78A2"/>
    <w:rsid w:val="003D543A"/>
    <w:rsid w:val="003E1D93"/>
    <w:rsid w:val="003E2159"/>
    <w:rsid w:val="003E2E89"/>
    <w:rsid w:val="003E42EA"/>
    <w:rsid w:val="003F1D64"/>
    <w:rsid w:val="003F3BB6"/>
    <w:rsid w:val="003F3F93"/>
    <w:rsid w:val="003F410F"/>
    <w:rsid w:val="003F4BD3"/>
    <w:rsid w:val="004013F7"/>
    <w:rsid w:val="00404490"/>
    <w:rsid w:val="00407FAE"/>
    <w:rsid w:val="004109EA"/>
    <w:rsid w:val="00423117"/>
    <w:rsid w:val="00426569"/>
    <w:rsid w:val="00443C7A"/>
    <w:rsid w:val="004452BA"/>
    <w:rsid w:val="00451221"/>
    <w:rsid w:val="004555F7"/>
    <w:rsid w:val="00462CFD"/>
    <w:rsid w:val="00466C61"/>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67C6F"/>
    <w:rsid w:val="006707FE"/>
    <w:rsid w:val="00671B36"/>
    <w:rsid w:val="0067393A"/>
    <w:rsid w:val="00684016"/>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428A"/>
    <w:rsid w:val="007365E4"/>
    <w:rsid w:val="00753753"/>
    <w:rsid w:val="007538EE"/>
    <w:rsid w:val="00763215"/>
    <w:rsid w:val="007847FC"/>
    <w:rsid w:val="00787A78"/>
    <w:rsid w:val="00795109"/>
    <w:rsid w:val="007A0451"/>
    <w:rsid w:val="007B2D27"/>
    <w:rsid w:val="007C0828"/>
    <w:rsid w:val="007C3F70"/>
    <w:rsid w:val="007C4C7A"/>
    <w:rsid w:val="007D5451"/>
    <w:rsid w:val="007D76B6"/>
    <w:rsid w:val="007E5683"/>
    <w:rsid w:val="007F6422"/>
    <w:rsid w:val="0080235B"/>
    <w:rsid w:val="00813515"/>
    <w:rsid w:val="0081588E"/>
    <w:rsid w:val="008159A4"/>
    <w:rsid w:val="00820C09"/>
    <w:rsid w:val="00822325"/>
    <w:rsid w:val="00825032"/>
    <w:rsid w:val="00831787"/>
    <w:rsid w:val="00831CFD"/>
    <w:rsid w:val="0085738D"/>
    <w:rsid w:val="008612D4"/>
    <w:rsid w:val="008674D7"/>
    <w:rsid w:val="008774C1"/>
    <w:rsid w:val="00880022"/>
    <w:rsid w:val="008916C9"/>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23CC"/>
    <w:rsid w:val="009A7E78"/>
    <w:rsid w:val="009B0289"/>
    <w:rsid w:val="009B0E2C"/>
    <w:rsid w:val="009C29B7"/>
    <w:rsid w:val="009C6E37"/>
    <w:rsid w:val="009C6F35"/>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2AAF"/>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92438"/>
    <w:rsid w:val="00B925C8"/>
    <w:rsid w:val="00B93BD6"/>
    <w:rsid w:val="00B93E3B"/>
    <w:rsid w:val="00BA0329"/>
    <w:rsid w:val="00BB0E07"/>
    <w:rsid w:val="00BB1A99"/>
    <w:rsid w:val="00BC1804"/>
    <w:rsid w:val="00BD66B5"/>
    <w:rsid w:val="00BD741B"/>
    <w:rsid w:val="00BD7FD3"/>
    <w:rsid w:val="00BF05E5"/>
    <w:rsid w:val="00BF3D90"/>
    <w:rsid w:val="00BF6726"/>
    <w:rsid w:val="00C00168"/>
    <w:rsid w:val="00C04E7B"/>
    <w:rsid w:val="00C078EC"/>
    <w:rsid w:val="00C11650"/>
    <w:rsid w:val="00C133FC"/>
    <w:rsid w:val="00C171FB"/>
    <w:rsid w:val="00C27CF2"/>
    <w:rsid w:val="00C40E03"/>
    <w:rsid w:val="00C428EB"/>
    <w:rsid w:val="00C42C75"/>
    <w:rsid w:val="00C5015C"/>
    <w:rsid w:val="00C516C8"/>
    <w:rsid w:val="00C51C0E"/>
    <w:rsid w:val="00C55B67"/>
    <w:rsid w:val="00C628B2"/>
    <w:rsid w:val="00C653FB"/>
    <w:rsid w:val="00C657FA"/>
    <w:rsid w:val="00C73B42"/>
    <w:rsid w:val="00C93159"/>
    <w:rsid w:val="00C9457C"/>
    <w:rsid w:val="00CA426C"/>
    <w:rsid w:val="00CA7DE6"/>
    <w:rsid w:val="00CB2251"/>
    <w:rsid w:val="00CB2938"/>
    <w:rsid w:val="00CB462E"/>
    <w:rsid w:val="00CB4A74"/>
    <w:rsid w:val="00CC70FB"/>
    <w:rsid w:val="00CD4DD8"/>
    <w:rsid w:val="00CE55AC"/>
    <w:rsid w:val="00D13BC3"/>
    <w:rsid w:val="00D14F03"/>
    <w:rsid w:val="00D409BB"/>
    <w:rsid w:val="00D438D7"/>
    <w:rsid w:val="00D5007A"/>
    <w:rsid w:val="00D5598B"/>
    <w:rsid w:val="00D56BD0"/>
    <w:rsid w:val="00D63679"/>
    <w:rsid w:val="00D6725D"/>
    <w:rsid w:val="00D71A2E"/>
    <w:rsid w:val="00D731FC"/>
    <w:rsid w:val="00D76E3D"/>
    <w:rsid w:val="00D80973"/>
    <w:rsid w:val="00DB3708"/>
    <w:rsid w:val="00DC397E"/>
    <w:rsid w:val="00DC3EBF"/>
    <w:rsid w:val="00DC3FCF"/>
    <w:rsid w:val="00E004F9"/>
    <w:rsid w:val="00E10DBE"/>
    <w:rsid w:val="00E14A7D"/>
    <w:rsid w:val="00E23547"/>
    <w:rsid w:val="00E336C0"/>
    <w:rsid w:val="00E457D7"/>
    <w:rsid w:val="00E46527"/>
    <w:rsid w:val="00E478DB"/>
    <w:rsid w:val="00E47CD6"/>
    <w:rsid w:val="00E52687"/>
    <w:rsid w:val="00E60CF7"/>
    <w:rsid w:val="00E60DF3"/>
    <w:rsid w:val="00E62060"/>
    <w:rsid w:val="00E64694"/>
    <w:rsid w:val="00E745ED"/>
    <w:rsid w:val="00E77E2B"/>
    <w:rsid w:val="00E8120B"/>
    <w:rsid w:val="00E846BA"/>
    <w:rsid w:val="00E84AE8"/>
    <w:rsid w:val="00E86C47"/>
    <w:rsid w:val="00E92CC7"/>
    <w:rsid w:val="00E93D45"/>
    <w:rsid w:val="00E96DF5"/>
    <w:rsid w:val="00EA5F73"/>
    <w:rsid w:val="00EB2D9B"/>
    <w:rsid w:val="00EB404E"/>
    <w:rsid w:val="00EC14B1"/>
    <w:rsid w:val="00EC6379"/>
    <w:rsid w:val="00ED507C"/>
    <w:rsid w:val="00EE38CD"/>
    <w:rsid w:val="00EE6D2C"/>
    <w:rsid w:val="00EF7326"/>
    <w:rsid w:val="00F02271"/>
    <w:rsid w:val="00F22C99"/>
    <w:rsid w:val="00F334A7"/>
    <w:rsid w:val="00F33ABD"/>
    <w:rsid w:val="00F35569"/>
    <w:rsid w:val="00F3618F"/>
    <w:rsid w:val="00F503C8"/>
    <w:rsid w:val="00F56689"/>
    <w:rsid w:val="00F67134"/>
    <w:rsid w:val="00F853FB"/>
    <w:rsid w:val="00F85977"/>
    <w:rsid w:val="00FB3A22"/>
    <w:rsid w:val="00FB3C62"/>
    <w:rsid w:val="00FB6FEC"/>
    <w:rsid w:val="00FB78E0"/>
    <w:rsid w:val="00FC0D6C"/>
    <w:rsid w:val="00FC3853"/>
    <w:rsid w:val="00FC53DE"/>
    <w:rsid w:val="00FC629F"/>
    <w:rsid w:val="00FC7652"/>
    <w:rsid w:val="00FD1F52"/>
    <w:rsid w:val="00FD2192"/>
    <w:rsid w:val="00FD7838"/>
    <w:rsid w:val="00FE1360"/>
    <w:rsid w:val="00FE70B2"/>
    <w:rsid w:val="0BF16627"/>
    <w:rsid w:val="4A916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F51F5"/>
  <w15:docId w15:val="{0D24DF4B-7F10-430F-9B69-69141102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4">
    <w:name w:val="Plain Text"/>
    <w:basedOn w:val="a"/>
    <w:qFormat/>
    <w:pPr>
      <w:widowControl/>
      <w:jc w:val="left"/>
    </w:pPr>
    <w:rPr>
      <w:rFonts w:ascii="Arial" w:hAnsi="Arial"/>
      <w:kern w:val="0"/>
      <w:sz w:val="18"/>
    </w:rPr>
  </w:style>
  <w:style w:type="paragraph" w:styleId="a5">
    <w:name w:val="Balloon Text"/>
    <w:basedOn w:val="a"/>
    <w:link w:val="a6"/>
    <w:uiPriority w:val="99"/>
    <w:semiHidden/>
    <w:unhideWhenUsed/>
    <w:rPr>
      <w:sz w:val="18"/>
      <w:szCs w:val="18"/>
    </w:rPr>
  </w:style>
  <w:style w:type="paragraph" w:styleId="a7">
    <w:name w:val="footer"/>
    <w:basedOn w:val="a"/>
    <w:pPr>
      <w:tabs>
        <w:tab w:val="center" w:pos="4153"/>
        <w:tab w:val="right" w:pos="8306"/>
      </w:tabs>
      <w:snapToGrid w:val="0"/>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rPr>
  </w:style>
  <w:style w:type="paragraph" w:styleId="a9">
    <w:name w:val="Normal (Web)"/>
    <w:basedOn w:val="a"/>
    <w:uiPriority w:val="99"/>
    <w:pPr>
      <w:widowControl/>
      <w:spacing w:before="100" w:beforeAutospacing="1" w:after="100" w:afterAutospacing="1"/>
      <w:jc w:val="left"/>
    </w:pPr>
    <w:rPr>
      <w:rFonts w:ascii="宋体" w:hAnsi="宋体"/>
      <w:kern w:val="0"/>
      <w:sz w:val="24"/>
    </w:rPr>
  </w:style>
  <w:style w:type="paragraph" w:styleId="aa">
    <w:name w:val="Title"/>
    <w:basedOn w:val="a"/>
    <w:link w:val="ab"/>
    <w:qFormat/>
    <w:pPr>
      <w:widowControl/>
      <w:jc w:val="center"/>
    </w:pPr>
    <w:rPr>
      <w:b/>
      <w:sz w:val="28"/>
      <w:lang w:eastAsia="en-US"/>
    </w:rPr>
  </w:style>
  <w:style w:type="character" w:styleId="ac">
    <w:name w:val="Strong"/>
    <w:basedOn w:val="a0"/>
    <w:qFormat/>
    <w:rPr>
      <w:b/>
    </w:rPr>
  </w:style>
  <w:style w:type="character" w:styleId="ad">
    <w:name w:val="page number"/>
    <w:basedOn w:val="a0"/>
  </w:style>
  <w:style w:type="character" w:styleId="ae">
    <w:name w:val="Emphasis"/>
    <w:basedOn w:val="a0"/>
    <w:qFormat/>
    <w:rPr>
      <w:i/>
    </w:rPr>
  </w:style>
  <w:style w:type="character" w:styleId="af">
    <w:name w:val="Hyperlink"/>
    <w:basedOn w:val="a0"/>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style>
  <w:style w:type="paragraph" w:styleId="af0">
    <w:name w:val="List Paragraph"/>
    <w:basedOn w:val="a"/>
    <w:uiPriority w:val="34"/>
    <w:qFormat/>
    <w:pPr>
      <w:ind w:firstLineChars="200" w:firstLine="420"/>
    </w:pPr>
    <w:rPr>
      <w:rFonts w:ascii="Calibri" w:hAnsi="Calibri"/>
    </w:rPr>
  </w:style>
  <w:style w:type="paragraph" w:customStyle="1" w:styleId="p0">
    <w:name w:val="p0"/>
    <w:basedOn w:val="a"/>
    <w:pPr>
      <w:widowControl/>
    </w:pPr>
    <w:rPr>
      <w:kern w:val="0"/>
    </w:rPr>
  </w:style>
  <w:style w:type="paragraph" w:customStyle="1" w:styleId="css">
    <w:name w:val="css"/>
    <w:basedOn w:val="a"/>
    <w:qFormat/>
    <w:pPr>
      <w:widowControl/>
      <w:spacing w:before="100" w:beforeAutospacing="1" w:after="100" w:afterAutospacing="1"/>
      <w:jc w:val="left"/>
    </w:pPr>
    <w:rPr>
      <w:rFonts w:ascii="宋体" w:hAnsi="宋体"/>
      <w:color w:val="0F0000"/>
      <w:kern w:val="0"/>
      <w:sz w:val="18"/>
    </w:rPr>
  </w:style>
  <w:style w:type="paragraph" w:customStyle="1" w:styleId="af1">
    <w:name w:val="清單段落"/>
    <w:basedOn w:val="a"/>
    <w:pPr>
      <w:ind w:left="720"/>
    </w:pPr>
  </w:style>
  <w:style w:type="character" w:customStyle="1" w:styleId="a6">
    <w:name w:val="批注框文本 字符"/>
    <w:basedOn w:val="a0"/>
    <w:link w:val="a5"/>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C24C2D-8F87-4042-91CA-409696C4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1424</Characters>
  <Application>Microsoft Office Word</Application>
  <DocSecurity>0</DocSecurity>
  <Lines>11</Lines>
  <Paragraphs>3</Paragraphs>
  <ScaleCrop>false</ScaleCrop>
  <Company>WWW.YlmF.CoM</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713</cp:lastModifiedBy>
  <cp:revision>2</cp:revision>
  <cp:lastPrinted>2013-11-12T01:54:00Z</cp:lastPrinted>
  <dcterms:created xsi:type="dcterms:W3CDTF">2023-02-17T01:58:00Z</dcterms:created>
  <dcterms:modified xsi:type="dcterms:W3CDTF">2023-02-17T01:58:00Z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3B9B1C45B3C249418D114986E0903116</vt:lpwstr>
  </property>
</Properties>
</file>