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D13827" w14:textId="77777777" w:rsidR="00386776" w:rsidRPr="00895DAD" w:rsidRDefault="00386776" w:rsidP="00895DAD">
      <w:pPr>
        <w:spacing w:beforeLines="100" w:before="240" w:afterLines="100" w:after="240"/>
        <w:jc w:val="center"/>
        <w:rPr>
          <w:rFonts w:ascii="微软雅黑" w:eastAsia="微软雅黑" w:hAnsi="微软雅黑"/>
          <w:b/>
          <w:sz w:val="32"/>
          <w:szCs w:val="32"/>
        </w:rPr>
      </w:pPr>
      <w:r w:rsidRPr="00895DAD">
        <w:rPr>
          <w:rFonts w:ascii="微软雅黑" w:eastAsia="微软雅黑" w:hAnsi="微软雅黑" w:hint="eastAsia"/>
          <w:b/>
          <w:sz w:val="32"/>
          <w:szCs w:val="32"/>
        </w:rPr>
        <w:t>OPPO智能手表新品跨品类拉新</w:t>
      </w:r>
    </w:p>
    <w:p w14:paraId="0B14D8D6" w14:textId="49C08281"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386776">
        <w:rPr>
          <w:rFonts w:ascii="微软雅黑" w:eastAsia="微软雅黑" w:hAnsi="微软雅黑" w:hint="eastAsia"/>
          <w:sz w:val="21"/>
          <w:szCs w:val="21"/>
        </w:rPr>
        <w:t>OPPO</w:t>
      </w:r>
    </w:p>
    <w:p w14:paraId="39CF38F3" w14:textId="74B24A78"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386776">
        <w:rPr>
          <w:rFonts w:ascii="微软雅黑" w:eastAsia="微软雅黑" w:hAnsi="微软雅黑" w:hint="eastAsia"/>
          <w:sz w:val="21"/>
          <w:szCs w:val="21"/>
        </w:rPr>
        <w:t>数码3</w:t>
      </w:r>
      <w:r w:rsidR="00386776">
        <w:rPr>
          <w:rFonts w:ascii="微软雅黑" w:eastAsia="微软雅黑" w:hAnsi="微软雅黑"/>
          <w:sz w:val="21"/>
          <w:szCs w:val="21"/>
        </w:rPr>
        <w:t>C</w:t>
      </w:r>
    </w:p>
    <w:p w14:paraId="5DC88663" w14:textId="4F9F3B34"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386776">
        <w:rPr>
          <w:rFonts w:ascii="微软雅黑" w:eastAsia="微软雅黑" w:hAnsi="微软雅黑"/>
          <w:sz w:val="21"/>
          <w:szCs w:val="21"/>
        </w:rPr>
        <w:t>06</w:t>
      </w:r>
      <w:r w:rsidR="007A4E3A" w:rsidRPr="00E5768D">
        <w:rPr>
          <w:rFonts w:ascii="微软雅黑" w:eastAsia="微软雅黑" w:hAnsi="微软雅黑" w:hint="eastAsia"/>
          <w:sz w:val="21"/>
          <w:szCs w:val="21"/>
        </w:rPr>
        <w:t>.</w:t>
      </w:r>
      <w:r w:rsidR="00386776">
        <w:rPr>
          <w:rFonts w:ascii="微软雅黑" w:eastAsia="微软雅黑" w:hAnsi="微软雅黑"/>
          <w:sz w:val="21"/>
          <w:szCs w:val="21"/>
        </w:rPr>
        <w:t>18</w:t>
      </w:r>
      <w:r w:rsidR="007A4E3A" w:rsidRPr="00E5768D">
        <w:rPr>
          <w:rFonts w:ascii="微软雅黑" w:eastAsia="微软雅黑" w:hAnsi="微软雅黑" w:hint="eastAsia"/>
          <w:sz w:val="21"/>
          <w:szCs w:val="21"/>
        </w:rPr>
        <w:t>-</w:t>
      </w:r>
      <w:r w:rsidR="00386776">
        <w:rPr>
          <w:rFonts w:ascii="微软雅黑" w:eastAsia="微软雅黑" w:hAnsi="微软雅黑"/>
          <w:sz w:val="21"/>
          <w:szCs w:val="21"/>
        </w:rPr>
        <w:t>07</w:t>
      </w:r>
      <w:r w:rsidR="007A4E3A" w:rsidRPr="00E5768D">
        <w:rPr>
          <w:rFonts w:ascii="微软雅黑" w:eastAsia="微软雅黑" w:hAnsi="微软雅黑" w:hint="eastAsia"/>
          <w:sz w:val="21"/>
          <w:szCs w:val="21"/>
        </w:rPr>
        <w:t>.</w:t>
      </w:r>
      <w:r w:rsidR="007A4E3A" w:rsidRPr="00E5768D">
        <w:rPr>
          <w:rFonts w:ascii="微软雅黑" w:eastAsia="微软雅黑" w:hAnsi="微软雅黑"/>
          <w:sz w:val="21"/>
          <w:szCs w:val="21"/>
        </w:rPr>
        <w:t>01</w:t>
      </w:r>
    </w:p>
    <w:p w14:paraId="1F6E17B5" w14:textId="26D595A6"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7D7F0C" w:rsidRPr="007D7F0C">
        <w:rPr>
          <w:rFonts w:ascii="微软雅黑" w:eastAsia="微软雅黑" w:hAnsi="微软雅黑" w:hint="eastAsia"/>
          <w:sz w:val="21"/>
          <w:szCs w:val="21"/>
        </w:rPr>
        <w:t>效果营销类</w:t>
      </w:r>
    </w:p>
    <w:p w14:paraId="0E6F1D1F" w14:textId="16CAA012"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766B984B" w14:textId="2A7CE713" w:rsidR="00266A5B" w:rsidRDefault="00386776" w:rsidP="007270CB">
      <w:pPr>
        <w:spacing w:before="100" w:beforeAutospacing="1" w:after="100" w:afterAutospacing="1"/>
        <w:textAlignment w:val="baseline"/>
        <w:rPr>
          <w:rFonts w:ascii="微软雅黑" w:eastAsia="微软雅黑" w:hAnsi="微软雅黑"/>
          <w:b/>
          <w:color w:val="C79E5B"/>
          <w:sz w:val="28"/>
        </w:rPr>
      </w:pPr>
      <w:r>
        <w:rPr>
          <w:noProof/>
        </w:rPr>
        <w:drawing>
          <wp:inline distT="0" distB="0" distL="0" distR="0" wp14:anchorId="4FDCD53E" wp14:editId="57377C42">
            <wp:extent cx="5720715" cy="321790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715" cy="3217902"/>
                    </a:xfrm>
                    <a:prstGeom prst="rect">
                      <a:avLst/>
                    </a:prstGeom>
                    <a:noFill/>
                    <a:ln>
                      <a:noFill/>
                    </a:ln>
                  </pic:spPr>
                </pic:pic>
              </a:graphicData>
            </a:graphic>
          </wp:inline>
        </w:drawing>
      </w:r>
    </w:p>
    <w:p w14:paraId="4B9BF95E" w14:textId="67F09041" w:rsidR="00386776" w:rsidRPr="007D7F0C" w:rsidRDefault="00386776" w:rsidP="007D7F0C">
      <w:pPr>
        <w:pStyle w:val="ab"/>
        <w:spacing w:before="100" w:beforeAutospacing="1" w:after="100" w:afterAutospacing="1"/>
        <w:ind w:firstLineChars="0" w:firstLine="0"/>
        <w:jc w:val="left"/>
        <w:textAlignment w:val="baseline"/>
        <w:rPr>
          <w:rFonts w:ascii="微软雅黑" w:eastAsia="微软雅黑" w:hAnsi="微软雅黑" w:cs="宋体"/>
          <w:color w:val="000000"/>
          <w:kern w:val="0"/>
          <w:szCs w:val="21"/>
        </w:rPr>
      </w:pPr>
      <w:r w:rsidRPr="007D7F0C">
        <w:rPr>
          <w:rFonts w:ascii="微软雅黑" w:eastAsia="微软雅黑" w:hAnsi="微软雅黑" w:cs="宋体" w:hint="eastAsia"/>
          <w:color w:val="000000"/>
          <w:kern w:val="0"/>
          <w:szCs w:val="21"/>
        </w:rPr>
        <w:t>本次6</w:t>
      </w:r>
      <w:r w:rsidRPr="007D7F0C">
        <w:rPr>
          <w:rFonts w:ascii="微软雅黑" w:eastAsia="微软雅黑" w:hAnsi="微软雅黑" w:cs="宋体"/>
          <w:color w:val="000000"/>
          <w:kern w:val="0"/>
          <w:szCs w:val="21"/>
        </w:rPr>
        <w:t>18</w:t>
      </w:r>
      <w:r w:rsidRPr="007D7F0C">
        <w:rPr>
          <w:rFonts w:ascii="微软雅黑" w:eastAsia="微软雅黑" w:hAnsi="微软雅黑" w:cs="宋体" w:hint="eastAsia"/>
          <w:color w:val="000000"/>
          <w:kern w:val="0"/>
          <w:szCs w:val="21"/>
        </w:rPr>
        <w:t>合作，</w:t>
      </w:r>
      <w:r w:rsidRPr="007D7F0C">
        <w:rPr>
          <w:rFonts w:ascii="微软雅黑" w:eastAsia="微软雅黑" w:hAnsi="微软雅黑" w:cs="宋体"/>
          <w:color w:val="000000"/>
          <w:kern w:val="0"/>
          <w:szCs w:val="21"/>
        </w:rPr>
        <w:t>OPPO</w:t>
      </w:r>
      <w:r w:rsidR="007D7F0C">
        <w:rPr>
          <w:rFonts w:ascii="微软雅黑" w:eastAsia="微软雅黑" w:hAnsi="微软雅黑" w:cs="宋体"/>
          <w:color w:val="000000"/>
          <w:kern w:val="0"/>
          <w:szCs w:val="21"/>
        </w:rPr>
        <w:t xml:space="preserve"> </w:t>
      </w:r>
      <w:r w:rsidRPr="007D7F0C">
        <w:rPr>
          <w:rFonts w:ascii="微软雅黑" w:eastAsia="微软雅黑" w:hAnsi="微软雅黑" w:cs="宋体" w:hint="eastAsia"/>
          <w:color w:val="000000"/>
          <w:kern w:val="0"/>
          <w:szCs w:val="21"/>
        </w:rPr>
        <w:t>IT新品首发的传播上，淘外超级汇川广告平台与淘内的联动是全链路沟通的重要环节。超级汇川广告平台通过全链路的消费者分层、跨品类拉新策略助力OPPO Watch 2系列智能手表全新上市。</w:t>
      </w:r>
    </w:p>
    <w:p w14:paraId="7978D94B" w14:textId="67C411ED" w:rsidR="00386776" w:rsidRPr="007D7F0C" w:rsidRDefault="00386776" w:rsidP="007D7F0C">
      <w:pPr>
        <w:pStyle w:val="ab"/>
        <w:spacing w:before="100" w:beforeAutospacing="1" w:after="100" w:afterAutospacing="1"/>
        <w:ind w:firstLineChars="0" w:firstLine="0"/>
        <w:textAlignment w:val="baseline"/>
        <w:rPr>
          <w:rFonts w:ascii="微软雅黑" w:eastAsia="微软雅黑" w:hAnsi="微软雅黑" w:cs="宋体"/>
          <w:b/>
          <w:color w:val="000000"/>
          <w:kern w:val="0"/>
          <w:szCs w:val="21"/>
        </w:rPr>
      </w:pPr>
      <w:r w:rsidRPr="007D7F0C">
        <w:rPr>
          <w:rFonts w:ascii="微软雅黑" w:eastAsia="微软雅黑" w:hAnsi="微软雅黑" w:cs="宋体" w:hint="eastAsia"/>
          <w:color w:val="000000"/>
          <w:kern w:val="0"/>
          <w:szCs w:val="21"/>
        </w:rPr>
        <w:t>在场景人群击穿阶段，结合“睡眠易感”、“课堂易感”、“运动易感”等多场景素材进行细分卖点沟通、沉淀以及联动。</w:t>
      </w:r>
      <w:r w:rsidRPr="007D7F0C">
        <w:rPr>
          <w:rFonts w:ascii="微软雅黑" w:eastAsia="微软雅黑" w:hAnsi="微软雅黑" w:hint="eastAsia"/>
          <w:b/>
          <w:color w:val="000000"/>
          <w:szCs w:val="21"/>
        </w:rPr>
        <w:t>在人群长线运营层面进行跨品类人群沉淀及本品人群跨品类复购深耕。</w:t>
      </w:r>
    </w:p>
    <w:p w14:paraId="0649C9B1" w14:textId="0A07A125" w:rsidR="006E1642" w:rsidRPr="007D7F0C" w:rsidRDefault="006E1642" w:rsidP="007D7F0C">
      <w:pPr>
        <w:spacing w:before="100" w:beforeAutospacing="1" w:after="100" w:afterAutospacing="1"/>
        <w:textAlignment w:val="baseline"/>
        <w:rPr>
          <w:rFonts w:ascii="微软雅黑" w:eastAsia="微软雅黑" w:hAnsi="微软雅黑"/>
          <w:color w:val="000000"/>
          <w:sz w:val="21"/>
          <w:szCs w:val="21"/>
        </w:rPr>
      </w:pPr>
      <w:r w:rsidRPr="007D7F0C">
        <w:rPr>
          <w:rFonts w:ascii="微软雅黑" w:eastAsia="微软雅黑" w:hAnsi="微软雅黑" w:hint="eastAsia"/>
          <w:b/>
          <w:color w:val="000000"/>
          <w:sz w:val="21"/>
          <w:szCs w:val="21"/>
        </w:rPr>
        <w:t>人群背景</w:t>
      </w:r>
      <w:r w:rsidRPr="007D7F0C">
        <w:rPr>
          <w:rFonts w:ascii="微软雅黑" w:eastAsia="微软雅黑" w:hAnsi="微软雅黑" w:hint="eastAsia"/>
          <w:color w:val="000000"/>
          <w:sz w:val="21"/>
          <w:szCs w:val="21"/>
        </w:rPr>
        <w:t>：</w:t>
      </w:r>
      <w:r w:rsidRPr="006E1642">
        <w:rPr>
          <w:rFonts w:ascii="微软雅黑" w:eastAsia="微软雅黑" w:hAnsi="微软雅黑" w:hint="eastAsia"/>
          <w:color w:val="000000"/>
          <w:sz w:val="21"/>
          <w:szCs w:val="21"/>
        </w:rPr>
        <w:t>购房人群更加年轻化，社区配套更加智能化，房屋装修更加个性化，房产品牌、购房需求与购房人群正趋于年轻化方向发展</w:t>
      </w:r>
      <w:r w:rsidR="007D7F0C">
        <w:rPr>
          <w:rFonts w:ascii="微软雅黑" w:eastAsia="微软雅黑" w:hAnsi="微软雅黑" w:hint="eastAsia"/>
          <w:color w:val="000000"/>
          <w:sz w:val="21"/>
          <w:szCs w:val="21"/>
        </w:rPr>
        <w:t>。</w:t>
      </w:r>
    </w:p>
    <w:p w14:paraId="289C27D7" w14:textId="557D6EAE" w:rsidR="006E1642" w:rsidRPr="006E1642" w:rsidRDefault="006E1642" w:rsidP="007D7F0C">
      <w:pPr>
        <w:spacing w:before="100" w:beforeAutospacing="1" w:after="100" w:afterAutospacing="1"/>
        <w:textAlignment w:val="baseline"/>
        <w:rPr>
          <w:rFonts w:ascii="微软雅黑" w:eastAsia="微软雅黑" w:hAnsi="微软雅黑"/>
          <w:color w:val="000000"/>
          <w:sz w:val="21"/>
          <w:szCs w:val="21"/>
        </w:rPr>
      </w:pPr>
      <w:r w:rsidRPr="007D7F0C">
        <w:rPr>
          <w:rFonts w:ascii="微软雅黑" w:eastAsia="微软雅黑" w:hAnsi="微软雅黑" w:hint="eastAsia"/>
          <w:b/>
          <w:color w:val="000000"/>
          <w:sz w:val="21"/>
          <w:szCs w:val="21"/>
        </w:rPr>
        <w:t>行业背景</w:t>
      </w:r>
      <w:r w:rsidRPr="007D7F0C">
        <w:rPr>
          <w:rFonts w:ascii="微软雅黑" w:eastAsia="微软雅黑" w:hAnsi="微软雅黑" w:hint="eastAsia"/>
          <w:color w:val="000000"/>
          <w:sz w:val="21"/>
          <w:szCs w:val="21"/>
        </w:rPr>
        <w:t>：</w:t>
      </w:r>
      <w:r w:rsidRPr="006E1642">
        <w:rPr>
          <w:rFonts w:ascii="微软雅黑" w:eastAsia="微软雅黑" w:hAnsi="微软雅黑" w:hint="eastAsia"/>
          <w:color w:val="000000"/>
          <w:sz w:val="21"/>
          <w:szCs w:val="21"/>
        </w:rPr>
        <w:t>金九银十购房季、出行旅游季，借行业需求将“家半径延伸”概念与出行旅游深入结合，利用需求打造声量、影响力，进而沉淀内容与潜客信息</w:t>
      </w:r>
      <w:r w:rsidR="007D7F0C">
        <w:rPr>
          <w:rFonts w:ascii="微软雅黑" w:eastAsia="微软雅黑" w:hAnsi="微软雅黑" w:hint="eastAsia"/>
          <w:color w:val="000000"/>
          <w:sz w:val="21"/>
          <w:szCs w:val="21"/>
        </w:rPr>
        <w:t>。</w:t>
      </w:r>
    </w:p>
    <w:p w14:paraId="43C9EBDD" w14:textId="45EAA309" w:rsidR="005F5C93" w:rsidRPr="007D7F0C" w:rsidRDefault="006E1642" w:rsidP="007D7F0C">
      <w:pPr>
        <w:spacing w:before="100" w:beforeAutospacing="1" w:after="100" w:afterAutospacing="1"/>
        <w:textAlignment w:val="baseline"/>
        <w:rPr>
          <w:rFonts w:ascii="微软雅黑" w:eastAsia="微软雅黑" w:hAnsi="微软雅黑"/>
          <w:color w:val="000000"/>
          <w:sz w:val="21"/>
          <w:szCs w:val="21"/>
        </w:rPr>
      </w:pPr>
      <w:r w:rsidRPr="007D7F0C">
        <w:rPr>
          <w:rFonts w:ascii="微软雅黑" w:eastAsia="微软雅黑" w:hAnsi="微软雅黑" w:hint="eastAsia"/>
          <w:b/>
          <w:color w:val="000000"/>
          <w:sz w:val="21"/>
          <w:szCs w:val="21"/>
        </w:rPr>
        <w:t>社会背景</w:t>
      </w:r>
      <w:r w:rsidRPr="007D7F0C">
        <w:rPr>
          <w:rFonts w:ascii="微软雅黑" w:eastAsia="微软雅黑" w:hAnsi="微软雅黑" w:hint="eastAsia"/>
          <w:color w:val="000000"/>
          <w:sz w:val="21"/>
          <w:szCs w:val="21"/>
        </w:rPr>
        <w:t>：</w:t>
      </w:r>
      <w:r w:rsidRPr="006E1642">
        <w:rPr>
          <w:rFonts w:ascii="微软雅黑" w:eastAsia="微软雅黑" w:hAnsi="微软雅黑" w:hint="eastAsia"/>
          <w:color w:val="000000"/>
          <w:sz w:val="21"/>
          <w:szCs w:val="21"/>
        </w:rPr>
        <w:t>疫情之下社会人群出行旅游欲望的增强，城市压力与防控的影响，想要走出去，延伸家的半径</w:t>
      </w:r>
      <w:r w:rsidR="007D7F0C">
        <w:rPr>
          <w:rFonts w:ascii="微软雅黑" w:eastAsia="微软雅黑" w:hAnsi="微软雅黑" w:hint="eastAsia"/>
          <w:color w:val="000000"/>
          <w:sz w:val="21"/>
          <w:szCs w:val="21"/>
        </w:rPr>
        <w:t>。</w:t>
      </w:r>
    </w:p>
    <w:p w14:paraId="3751F760" w14:textId="2C05EEC6" w:rsidR="000631F9" w:rsidRPr="002C2690" w:rsidRDefault="000631F9" w:rsidP="007D7F0C">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lastRenderedPageBreak/>
        <w:t>营销目标</w:t>
      </w:r>
    </w:p>
    <w:p w14:paraId="6D1EE97F" w14:textId="6E9D64BC" w:rsidR="005F5C93" w:rsidRDefault="00A13B59" w:rsidP="007D7F0C">
      <w:pPr>
        <w:spacing w:before="100" w:beforeAutospacing="1" w:after="100" w:afterAutospacing="1"/>
        <w:textAlignment w:val="baseline"/>
        <w:rPr>
          <w:rFonts w:ascii="微软雅黑" w:eastAsia="微软雅黑" w:hAnsi="微软雅黑"/>
          <w:color w:val="000000"/>
          <w:sz w:val="21"/>
          <w:szCs w:val="21"/>
        </w:rPr>
      </w:pPr>
      <w:r>
        <w:rPr>
          <w:rFonts w:ascii="微软雅黑" w:eastAsia="微软雅黑" w:hAnsi="微软雅黑" w:hint="eastAsia"/>
          <w:color w:val="000000"/>
          <w:sz w:val="21"/>
          <w:szCs w:val="21"/>
        </w:rPr>
        <w:t>R</w:t>
      </w:r>
      <w:r>
        <w:rPr>
          <w:rFonts w:ascii="微软雅黑" w:eastAsia="微软雅黑" w:hAnsi="微软雅黑"/>
          <w:color w:val="000000"/>
          <w:sz w:val="21"/>
          <w:szCs w:val="21"/>
        </w:rPr>
        <w:t>OI</w:t>
      </w:r>
      <w:r>
        <w:rPr>
          <w:rFonts w:ascii="微软雅黑" w:eastAsia="微软雅黑" w:hAnsi="微软雅黑" w:hint="eastAsia"/>
          <w:color w:val="000000"/>
          <w:sz w:val="21"/>
          <w:szCs w:val="21"/>
        </w:rPr>
        <w:t>全面提升</w:t>
      </w:r>
      <w:r w:rsidR="00607F37" w:rsidRPr="00607F37">
        <w:rPr>
          <w:rFonts w:ascii="微软雅黑" w:eastAsia="微软雅黑" w:hAnsi="微软雅黑" w:hint="eastAsia"/>
          <w:color w:val="000000"/>
          <w:sz w:val="21"/>
          <w:szCs w:val="21"/>
        </w:rPr>
        <w:t>。</w:t>
      </w:r>
    </w:p>
    <w:p w14:paraId="272E60B2" w14:textId="08981EF9" w:rsidR="00EC1132" w:rsidRPr="005F5C93" w:rsidRDefault="00EC1132" w:rsidP="007D7F0C">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45585EDD" wp14:editId="73912683">
            <wp:extent cx="3810000" cy="2857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6D53810A" w14:textId="77777777" w:rsidR="005F091D" w:rsidRDefault="00EC1132" w:rsidP="005F091D">
      <w:pPr>
        <w:pStyle w:val="ac"/>
        <w:rPr>
          <w:rFonts w:ascii="微软雅黑" w:eastAsia="微软雅黑" w:hAnsi="微软雅黑"/>
          <w:b/>
          <w:color w:val="0D0D0D" w:themeColor="text1" w:themeTint="F2"/>
          <w:sz w:val="21"/>
          <w:szCs w:val="21"/>
        </w:rPr>
      </w:pPr>
      <w:r w:rsidRPr="00EC1132">
        <w:rPr>
          <w:rFonts w:ascii="微软雅黑" w:eastAsia="微软雅黑" w:hAnsi="微软雅黑" w:hint="eastAsia"/>
          <w:b/>
          <w:color w:val="0D0D0D" w:themeColor="text1" w:themeTint="F2"/>
          <w:sz w:val="21"/>
          <w:szCs w:val="21"/>
        </w:rPr>
        <w:t>通过跨品类拉新策略对消费者分层，借助淘内&amp;超级汇川广告平台联动进行长效运营</w:t>
      </w:r>
      <w:r w:rsidR="005F091D">
        <w:rPr>
          <w:rFonts w:ascii="微软雅黑" w:eastAsia="微软雅黑" w:hAnsi="微软雅黑" w:hint="eastAsia"/>
          <w:b/>
          <w:color w:val="0D0D0D" w:themeColor="text1" w:themeTint="F2"/>
          <w:sz w:val="21"/>
          <w:szCs w:val="21"/>
        </w:rPr>
        <w:t>。</w:t>
      </w:r>
    </w:p>
    <w:p w14:paraId="17F3A18D" w14:textId="51C4F350" w:rsidR="00EC1132" w:rsidRPr="005F091D" w:rsidRDefault="005F091D" w:rsidP="005F091D">
      <w:pPr>
        <w:pStyle w:val="ac"/>
        <w:rPr>
          <w:rFonts w:ascii="微软雅黑" w:eastAsia="微软雅黑" w:hAnsi="微软雅黑"/>
          <w:b/>
          <w:color w:val="0D0D0D" w:themeColor="text1" w:themeTint="F2"/>
          <w:sz w:val="21"/>
          <w:szCs w:val="21"/>
        </w:rPr>
      </w:pPr>
      <w:r>
        <w:rPr>
          <w:rFonts w:ascii="微软雅黑" w:eastAsia="微软雅黑" w:hAnsi="微软雅黑" w:hint="eastAsia"/>
          <w:b/>
          <w:color w:val="0D0D0D" w:themeColor="text1" w:themeTint="F2"/>
          <w:sz w:val="21"/>
          <w:szCs w:val="21"/>
        </w:rPr>
        <w:t>1、</w:t>
      </w:r>
      <w:r w:rsidR="00EC1132" w:rsidRPr="00EC1132">
        <w:rPr>
          <w:rFonts w:ascii="微软雅黑" w:eastAsia="微软雅黑" w:hAnsi="微软雅黑" w:hint="eastAsia"/>
          <w:b/>
          <w:color w:val="0D0D0D" w:themeColor="text1" w:themeTint="F2"/>
          <w:sz w:val="21"/>
          <w:szCs w:val="21"/>
        </w:rPr>
        <w:t>场景人群击穿：</w:t>
      </w:r>
    </w:p>
    <w:p w14:paraId="361FAF71" w14:textId="6CF5420B" w:rsidR="00EC1132" w:rsidRPr="007D7F0C" w:rsidRDefault="00EC1132" w:rsidP="005F091D">
      <w:pPr>
        <w:pStyle w:val="ac"/>
        <w:jc w:val="both"/>
        <w:rPr>
          <w:rFonts w:ascii="微软雅黑" w:eastAsia="微软雅黑" w:hAnsi="微软雅黑" w:cs="宋体"/>
          <w:color w:val="000000"/>
          <w:sz w:val="21"/>
          <w:szCs w:val="21"/>
        </w:rPr>
      </w:pPr>
      <w:r w:rsidRPr="007D7F0C">
        <w:rPr>
          <w:rFonts w:ascii="微软雅黑" w:eastAsia="微软雅黑" w:hAnsi="微软雅黑" w:cs="宋体" w:hint="eastAsia"/>
          <w:color w:val="000000"/>
          <w:sz w:val="21"/>
          <w:szCs w:val="21"/>
        </w:rPr>
        <w:t>洞察趋势赛道消费特征，针对运动健康、学生教育、睡眠需求等跨品类消费者分层，通过牵星DMP进行人群触达；</w:t>
      </w:r>
    </w:p>
    <w:p w14:paraId="789A5BC5" w14:textId="0DB1F9AF" w:rsidR="00EC1132" w:rsidRPr="007D7F0C" w:rsidRDefault="00EC1132" w:rsidP="005F091D">
      <w:pPr>
        <w:pStyle w:val="ac"/>
        <w:jc w:val="both"/>
        <w:rPr>
          <w:rFonts w:ascii="微软雅黑" w:eastAsia="微软雅黑" w:hAnsi="微软雅黑" w:cs="宋体"/>
          <w:color w:val="000000"/>
          <w:sz w:val="21"/>
          <w:szCs w:val="21"/>
        </w:rPr>
      </w:pPr>
      <w:r w:rsidRPr="007D7F0C">
        <w:rPr>
          <w:rFonts w:ascii="微软雅黑" w:eastAsia="微软雅黑" w:hAnsi="微软雅黑" w:cs="宋体" w:hint="eastAsia"/>
          <w:color w:val="000000"/>
          <w:sz w:val="21"/>
          <w:szCs w:val="21"/>
        </w:rPr>
        <w:t>结合“睡眠易感”、“课堂易感”、“运动易感”等多场景素材进行细分卖点沟通；节奏上在首发场景扩大影响力，销售环节持续蓄水</w:t>
      </w:r>
      <w:r w:rsidR="005F091D">
        <w:rPr>
          <w:rFonts w:ascii="微软雅黑" w:eastAsia="微软雅黑" w:hAnsi="微软雅黑" w:cs="宋体" w:hint="eastAsia"/>
          <w:color w:val="000000"/>
          <w:sz w:val="21"/>
          <w:szCs w:val="21"/>
        </w:rPr>
        <w:t>。</w:t>
      </w:r>
    </w:p>
    <w:p w14:paraId="47664DD2" w14:textId="6664BA8D" w:rsidR="00EC1132" w:rsidRDefault="00EC1132" w:rsidP="007D7F0C">
      <w:pPr>
        <w:pStyle w:val="ac"/>
        <w:rPr>
          <w:rFonts w:ascii="微软雅黑" w:eastAsia="微软雅黑" w:hAnsi="微软雅黑"/>
          <w:b/>
          <w:color w:val="0D0D0D" w:themeColor="text1" w:themeTint="F2"/>
          <w:sz w:val="21"/>
          <w:szCs w:val="21"/>
        </w:rPr>
      </w:pPr>
      <w:r w:rsidRPr="00EC1132">
        <w:rPr>
          <w:rFonts w:ascii="微软雅黑" w:eastAsia="微软雅黑" w:hAnsi="微软雅黑" w:hint="eastAsia"/>
          <w:b/>
          <w:color w:val="0D0D0D" w:themeColor="text1" w:themeTint="F2"/>
          <w:sz w:val="21"/>
          <w:szCs w:val="21"/>
        </w:rPr>
        <w:t>2</w:t>
      </w:r>
      <w:r w:rsidR="005F091D">
        <w:rPr>
          <w:rFonts w:ascii="微软雅黑" w:eastAsia="微软雅黑" w:hAnsi="微软雅黑" w:hint="eastAsia"/>
          <w:b/>
          <w:color w:val="0D0D0D" w:themeColor="text1" w:themeTint="F2"/>
          <w:sz w:val="21"/>
          <w:szCs w:val="21"/>
        </w:rPr>
        <w:t>、</w:t>
      </w:r>
      <w:r w:rsidRPr="00EC1132">
        <w:rPr>
          <w:rFonts w:ascii="微软雅黑" w:eastAsia="微软雅黑" w:hAnsi="微软雅黑" w:hint="eastAsia"/>
          <w:b/>
          <w:color w:val="0D0D0D" w:themeColor="text1" w:themeTint="F2"/>
          <w:sz w:val="21"/>
          <w:szCs w:val="21"/>
        </w:rPr>
        <w:t>人群长线运营：</w:t>
      </w:r>
    </w:p>
    <w:p w14:paraId="162A122F" w14:textId="77777777" w:rsidR="00EC1132" w:rsidRDefault="00EC1132" w:rsidP="005F091D">
      <w:pPr>
        <w:pStyle w:val="ac"/>
        <w:jc w:val="both"/>
        <w:rPr>
          <w:rFonts w:ascii="微软雅黑" w:eastAsia="微软雅黑" w:hAnsi="微软雅黑"/>
          <w:color w:val="0D0D0D" w:themeColor="text1" w:themeTint="F2"/>
          <w:sz w:val="21"/>
          <w:szCs w:val="21"/>
        </w:rPr>
      </w:pPr>
      <w:r w:rsidRPr="00B9579E">
        <w:rPr>
          <w:rFonts w:ascii="微软雅黑" w:eastAsia="微软雅黑" w:hAnsi="微软雅黑" w:hint="eastAsia"/>
          <w:color w:val="0D0D0D" w:themeColor="text1" w:themeTint="F2"/>
          <w:sz w:val="21"/>
          <w:szCs w:val="21"/>
        </w:rPr>
        <w:t>1）跨品类人群沉淀：对于UC跨品类拉新人群、通过数据银行回流淘内二次营销，提升消费者对于新品兴趣度；</w:t>
      </w:r>
    </w:p>
    <w:p w14:paraId="54BF8DB9" w14:textId="41559E5F" w:rsidR="00EC1132" w:rsidRPr="00B9579E" w:rsidRDefault="00EC1132" w:rsidP="005F091D">
      <w:pPr>
        <w:pStyle w:val="ac"/>
        <w:jc w:val="both"/>
        <w:rPr>
          <w:rFonts w:ascii="微软雅黑" w:eastAsia="微软雅黑" w:hAnsi="微软雅黑"/>
          <w:b/>
          <w:color w:val="0D0D0D" w:themeColor="text1" w:themeTint="F2"/>
          <w:sz w:val="21"/>
          <w:szCs w:val="21"/>
        </w:rPr>
      </w:pPr>
      <w:r w:rsidRPr="00B9579E">
        <w:rPr>
          <w:rFonts w:ascii="微软雅黑" w:eastAsia="微软雅黑" w:hAnsi="微软雅黑" w:hint="eastAsia"/>
          <w:color w:val="0D0D0D" w:themeColor="text1" w:themeTint="F2"/>
          <w:sz w:val="21"/>
          <w:szCs w:val="21"/>
        </w:rPr>
        <w:t>2）本品人群跨品类复购：通过数据银行定义本品消费者，针对有品牌认知人群，引导跨品类复购</w:t>
      </w:r>
      <w:r w:rsidR="005F091D">
        <w:rPr>
          <w:rFonts w:ascii="微软雅黑" w:eastAsia="微软雅黑" w:hAnsi="微软雅黑" w:hint="eastAsia"/>
          <w:color w:val="0D0D0D" w:themeColor="text1" w:themeTint="F2"/>
          <w:sz w:val="21"/>
          <w:szCs w:val="21"/>
        </w:rPr>
        <w:t>。</w:t>
      </w:r>
    </w:p>
    <w:p w14:paraId="3CC50247" w14:textId="4321E2EA" w:rsidR="00EC1132" w:rsidRDefault="00EC1132" w:rsidP="007D7F0C">
      <w:pPr>
        <w:spacing w:before="100" w:beforeAutospacing="1" w:after="100" w:afterAutospacing="1"/>
        <w:textAlignment w:val="baseline"/>
        <w:rPr>
          <w:rFonts w:ascii="微软雅黑" w:eastAsia="微软雅黑" w:hAnsi="微软雅黑"/>
          <w:color w:val="0D0D0D" w:themeColor="text1" w:themeTint="F2"/>
          <w:sz w:val="21"/>
          <w:szCs w:val="21"/>
        </w:rPr>
      </w:pPr>
      <w:r w:rsidRPr="00EC1132">
        <w:rPr>
          <w:rFonts w:ascii="微软雅黑" w:eastAsia="微软雅黑" w:hAnsi="微软雅黑" w:hint="eastAsia"/>
          <w:b/>
          <w:color w:val="0D0D0D" w:themeColor="text1" w:themeTint="F2"/>
          <w:sz w:val="21"/>
          <w:szCs w:val="21"/>
        </w:rPr>
        <w:t>合作亮点：</w:t>
      </w:r>
      <w:r w:rsidRPr="005F091D">
        <w:rPr>
          <w:rFonts w:ascii="微软雅黑" w:eastAsia="微软雅黑" w:hAnsi="微软雅黑" w:hint="eastAsia"/>
          <w:b/>
          <w:color w:val="0D0D0D" w:themeColor="text1" w:themeTint="F2"/>
          <w:sz w:val="21"/>
          <w:szCs w:val="21"/>
        </w:rPr>
        <w:t>跨品类拉新打破消费者信息茧房，OPPO布局IOT新赛道初露锋芒</w:t>
      </w:r>
    </w:p>
    <w:p w14:paraId="060AF75D" w14:textId="768958FE" w:rsidR="00EC1132" w:rsidRDefault="00EC1132" w:rsidP="007D7F0C">
      <w:pPr>
        <w:spacing w:before="100" w:beforeAutospacing="1" w:after="100" w:afterAutospacing="1"/>
        <w:textAlignment w:val="baseline"/>
        <w:rPr>
          <w:rFonts w:ascii="微软雅黑" w:eastAsia="微软雅黑" w:hAnsi="微软雅黑"/>
          <w:color w:val="0D0D0D" w:themeColor="text1" w:themeTint="F2"/>
          <w:sz w:val="21"/>
          <w:szCs w:val="21"/>
        </w:rPr>
      </w:pPr>
      <w:r>
        <w:rPr>
          <w:noProof/>
        </w:rPr>
        <w:lastRenderedPageBreak/>
        <w:drawing>
          <wp:inline distT="0" distB="0" distL="0" distR="0" wp14:anchorId="6960776A" wp14:editId="1B4F3C3D">
            <wp:extent cx="5720715" cy="32131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3213135"/>
                    </a:xfrm>
                    <a:prstGeom prst="rect">
                      <a:avLst/>
                    </a:prstGeom>
                    <a:noFill/>
                    <a:ln>
                      <a:noFill/>
                    </a:ln>
                  </pic:spPr>
                </pic:pic>
              </a:graphicData>
            </a:graphic>
          </wp:inline>
        </w:drawing>
      </w:r>
    </w:p>
    <w:p w14:paraId="0413AEA7" w14:textId="2B38CAB3" w:rsidR="00B5241D" w:rsidRPr="002C2690" w:rsidRDefault="000631F9" w:rsidP="007D7F0C">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54385F97" w14:textId="08103F01" w:rsidR="00EC1132" w:rsidRPr="005F091D" w:rsidRDefault="00EC1132" w:rsidP="007D7F0C">
      <w:pPr>
        <w:pStyle w:val="ac"/>
        <w:rPr>
          <w:rFonts w:ascii="微软雅黑" w:eastAsia="微软雅黑" w:hAnsi="微软雅黑"/>
          <w:color w:val="0D0D0D" w:themeColor="text1" w:themeTint="F2"/>
          <w:sz w:val="21"/>
          <w:szCs w:val="21"/>
        </w:rPr>
      </w:pPr>
      <w:r w:rsidRPr="005F091D">
        <w:rPr>
          <w:rFonts w:ascii="微软雅黑" w:eastAsia="微软雅黑" w:hAnsi="微软雅黑" w:hint="eastAsia"/>
          <w:color w:val="0D0D0D" w:themeColor="text1" w:themeTint="F2"/>
          <w:sz w:val="21"/>
          <w:szCs w:val="21"/>
        </w:rPr>
        <w:t>根据OPPO</w:t>
      </w:r>
      <w:r w:rsidRPr="005F091D">
        <w:rPr>
          <w:rFonts w:ascii="微软雅黑" w:eastAsia="微软雅黑" w:hAnsi="微软雅黑"/>
          <w:color w:val="0D0D0D" w:themeColor="text1" w:themeTint="F2"/>
          <w:sz w:val="21"/>
          <w:szCs w:val="21"/>
        </w:rPr>
        <w:t> </w:t>
      </w:r>
      <w:r w:rsidRPr="005F091D">
        <w:rPr>
          <w:rFonts w:ascii="微软雅黑" w:eastAsia="微软雅黑" w:hAnsi="微软雅黑" w:hint="eastAsia"/>
          <w:color w:val="0D0D0D" w:themeColor="text1" w:themeTint="F2"/>
          <w:sz w:val="21"/>
          <w:szCs w:val="21"/>
        </w:rPr>
        <w:t>watch</w:t>
      </w:r>
      <w:r w:rsidRPr="005F091D">
        <w:rPr>
          <w:rFonts w:ascii="微软雅黑" w:eastAsia="微软雅黑" w:hAnsi="微软雅黑"/>
          <w:color w:val="0D0D0D" w:themeColor="text1" w:themeTint="F2"/>
          <w:sz w:val="21"/>
          <w:szCs w:val="21"/>
        </w:rPr>
        <w:t>2</w:t>
      </w:r>
      <w:r w:rsidRPr="005F091D">
        <w:rPr>
          <w:rFonts w:ascii="微软雅黑" w:eastAsia="微软雅黑" w:hAnsi="微软雅黑" w:hint="eastAsia"/>
          <w:color w:val="0D0D0D" w:themeColor="text1" w:themeTint="F2"/>
          <w:sz w:val="21"/>
          <w:szCs w:val="21"/>
        </w:rPr>
        <w:t>在首发与平销两环节利用牵星DMP进行人群触达；结合“睡眠易感”、“课堂易感”、“运动易感”等多场景素材进行细分卖点沟通；节奏上在首发场景利用大曝光资源扩大影响力，销售环节借助易达产品持续蓄水引导转化。</w:t>
      </w:r>
    </w:p>
    <w:p w14:paraId="1CBC7DE5" w14:textId="5C0CCB4A" w:rsidR="00EC1132" w:rsidRPr="00EC1132" w:rsidRDefault="00EC1132" w:rsidP="007D7F0C">
      <w:pPr>
        <w:pStyle w:val="ac"/>
        <w:rPr>
          <w:rFonts w:ascii="微软雅黑" w:eastAsia="微软雅黑" w:hAnsi="微软雅黑" w:cs="Arial"/>
          <w:b/>
          <w:bCs/>
          <w:color w:val="000000"/>
          <w:sz w:val="21"/>
        </w:rPr>
      </w:pPr>
      <w:r w:rsidRPr="00EC1132">
        <w:rPr>
          <w:rFonts w:ascii="微软雅黑" w:eastAsia="微软雅黑" w:hAnsi="微软雅黑" w:cs="Arial" w:hint="eastAsia"/>
          <w:b/>
          <w:color w:val="000000"/>
          <w:sz w:val="21"/>
        </w:rPr>
        <w:t>1</w:t>
      </w:r>
      <w:r w:rsidR="00296DC6">
        <w:rPr>
          <w:rFonts w:ascii="微软雅黑" w:eastAsia="微软雅黑" w:hAnsi="微软雅黑" w:cs="Arial" w:hint="eastAsia"/>
          <w:b/>
          <w:color w:val="000000"/>
          <w:sz w:val="21"/>
        </w:rPr>
        <w:t>、</w:t>
      </w:r>
      <w:r w:rsidRPr="00EC1132">
        <w:rPr>
          <w:rFonts w:ascii="微软雅黑" w:eastAsia="微软雅黑" w:hAnsi="微软雅黑" w:cs="Arial" w:hint="eastAsia"/>
          <w:b/>
          <w:color w:val="000000"/>
          <w:sz w:val="21"/>
        </w:rPr>
        <w:t>首发及前期造势策略与传播执行：</w:t>
      </w:r>
    </w:p>
    <w:p w14:paraId="06368593" w14:textId="2F452848" w:rsidR="00EC1132" w:rsidRPr="00B32F5A" w:rsidRDefault="00EC1132" w:rsidP="007D7F0C">
      <w:pPr>
        <w:pStyle w:val="ac"/>
        <w:rPr>
          <w:rFonts w:ascii="微软雅黑" w:eastAsia="微软雅黑" w:hAnsi="微软雅黑" w:cs="Arial"/>
          <w:color w:val="000000"/>
          <w:sz w:val="21"/>
        </w:rPr>
      </w:pPr>
      <w:r w:rsidRPr="00EC1132">
        <w:rPr>
          <w:rFonts w:ascii="微软雅黑" w:eastAsia="微软雅黑" w:hAnsi="微软雅黑" w:cs="Arial" w:hint="eastAsia"/>
          <w:b/>
          <w:color w:val="000000"/>
          <w:sz w:val="21"/>
        </w:rPr>
        <w:t>A</w:t>
      </w:r>
      <w:r w:rsidR="00296DC6">
        <w:rPr>
          <w:rFonts w:ascii="微软雅黑" w:eastAsia="微软雅黑" w:hAnsi="微软雅黑" w:cs="Arial" w:hint="eastAsia"/>
          <w:b/>
          <w:color w:val="000000"/>
          <w:sz w:val="21"/>
        </w:rPr>
        <w:t>、</w:t>
      </w:r>
      <w:r w:rsidRPr="00EC1132">
        <w:rPr>
          <w:rFonts w:ascii="微软雅黑" w:eastAsia="微软雅黑" w:hAnsi="微软雅黑" w:cs="Arial" w:hint="eastAsia"/>
          <w:b/>
          <w:color w:val="000000"/>
          <w:sz w:val="21"/>
        </w:rPr>
        <w:t>首发期目标：</w:t>
      </w:r>
      <w:r w:rsidRPr="00D634AC">
        <w:rPr>
          <w:rFonts w:ascii="微软雅黑" w:eastAsia="微软雅黑" w:hAnsi="微软雅黑" w:cs="Arial" w:hint="eastAsia"/>
          <w:color w:val="000000"/>
          <w:sz w:val="21"/>
        </w:rPr>
        <w:t>提升新品声量、吸引TA兴趣</w:t>
      </w:r>
      <w:r>
        <w:rPr>
          <w:rFonts w:ascii="微软雅黑" w:eastAsia="微软雅黑" w:hAnsi="微软雅黑" w:cs="Arial" w:hint="eastAsia"/>
          <w:color w:val="000000"/>
          <w:sz w:val="21"/>
        </w:rPr>
        <w:t>，</w:t>
      </w:r>
      <w:r w:rsidRPr="00B32F5A">
        <w:rPr>
          <w:rFonts w:ascii="微软雅黑" w:eastAsia="微软雅黑" w:hAnsi="微软雅黑" w:cs="Arial" w:hint="eastAsia"/>
          <w:color w:val="000000"/>
          <w:sz w:val="21"/>
        </w:rPr>
        <w:t>种草出淘TA、加深消费者关系</w:t>
      </w:r>
      <w:r>
        <w:rPr>
          <w:rFonts w:ascii="微软雅黑" w:eastAsia="微软雅黑" w:hAnsi="微软雅黑" w:cs="Arial" w:hint="eastAsia"/>
          <w:color w:val="000000"/>
          <w:sz w:val="21"/>
        </w:rPr>
        <w:t>；</w:t>
      </w:r>
    </w:p>
    <w:p w14:paraId="74AF0189" w14:textId="791A63F1" w:rsidR="00EC1132" w:rsidRPr="00B32F5A" w:rsidRDefault="00EC1132" w:rsidP="007D7F0C">
      <w:pPr>
        <w:pStyle w:val="ac"/>
        <w:rPr>
          <w:rFonts w:ascii="微软雅黑" w:eastAsia="微软雅黑" w:hAnsi="微软雅黑" w:cs="Arial"/>
          <w:b/>
          <w:color w:val="000000"/>
          <w:sz w:val="21"/>
        </w:rPr>
      </w:pPr>
      <w:r w:rsidRPr="00EC1132">
        <w:rPr>
          <w:rFonts w:ascii="微软雅黑" w:eastAsia="微软雅黑" w:hAnsi="微软雅黑" w:cs="Arial" w:hint="eastAsia"/>
          <w:b/>
          <w:color w:val="000000"/>
          <w:sz w:val="21"/>
        </w:rPr>
        <w:t>B</w:t>
      </w:r>
      <w:r w:rsidR="00296DC6">
        <w:rPr>
          <w:rFonts w:ascii="微软雅黑" w:eastAsia="微软雅黑" w:hAnsi="微软雅黑" w:cs="Arial" w:hint="eastAsia"/>
          <w:b/>
          <w:color w:val="000000"/>
          <w:sz w:val="21"/>
        </w:rPr>
        <w:t>、</w:t>
      </w:r>
      <w:r w:rsidRPr="00EC1132">
        <w:rPr>
          <w:rFonts w:ascii="微软雅黑" w:eastAsia="微软雅黑" w:hAnsi="微软雅黑" w:cs="Arial" w:hint="eastAsia"/>
          <w:b/>
          <w:color w:val="000000"/>
          <w:sz w:val="21"/>
        </w:rPr>
        <w:t>首发期人群策略：</w:t>
      </w:r>
      <w:r>
        <w:rPr>
          <w:rFonts w:ascii="微软雅黑" w:eastAsia="微软雅黑" w:hAnsi="微软雅黑" w:cs="Arial" w:hint="eastAsia"/>
          <w:color w:val="000000"/>
          <w:sz w:val="21"/>
        </w:rPr>
        <w:t>提客单-</w:t>
      </w:r>
      <w:r w:rsidRPr="00D634AC">
        <w:rPr>
          <w:rFonts w:ascii="微软雅黑" w:eastAsia="微软雅黑" w:hAnsi="微软雅黑" w:cs="Arial" w:hint="eastAsia"/>
          <w:color w:val="000000"/>
          <w:sz w:val="21"/>
        </w:rPr>
        <w:t>高客单换机意向消费者</w:t>
      </w:r>
      <w:r>
        <w:rPr>
          <w:rFonts w:ascii="微软雅黑" w:eastAsia="微软雅黑" w:hAnsi="微软雅黑" w:cs="Arial" w:hint="eastAsia"/>
          <w:color w:val="000000"/>
          <w:sz w:val="21"/>
        </w:rPr>
        <w:t>；提新客-</w:t>
      </w:r>
      <w:r w:rsidRPr="00D634AC">
        <w:rPr>
          <w:rFonts w:ascii="微软雅黑" w:eastAsia="微软雅黑" w:hAnsi="微软雅黑" w:cs="Arial" w:hint="eastAsia"/>
          <w:color w:val="000000"/>
          <w:sz w:val="21"/>
        </w:rPr>
        <w:t>智能生态兴趣人群</w:t>
      </w:r>
      <w:r>
        <w:rPr>
          <w:rFonts w:ascii="微软雅黑" w:eastAsia="微软雅黑" w:hAnsi="微软雅黑" w:cs="Arial" w:hint="eastAsia"/>
          <w:color w:val="000000"/>
          <w:sz w:val="21"/>
        </w:rPr>
        <w:t>；提老客</w:t>
      </w:r>
      <w:r w:rsidRPr="00D634AC">
        <w:rPr>
          <w:rFonts w:ascii="微软雅黑" w:eastAsia="微软雅黑" w:hAnsi="微软雅黑" w:cs="Arial" w:hint="eastAsia"/>
          <w:color w:val="000000"/>
          <w:sz w:val="21"/>
        </w:rPr>
        <w:t>-历史 AI 流失人群、品类品牌意向用户</w:t>
      </w:r>
      <w:r w:rsidRPr="00B32F5A">
        <w:rPr>
          <w:rFonts w:ascii="微软雅黑" w:eastAsia="微软雅黑" w:hAnsi="微软雅黑" w:cs="Arial" w:hint="eastAsia"/>
          <w:color w:val="000000"/>
          <w:sz w:val="21"/>
        </w:rPr>
        <w:t>认知树立-淘内意向意向分层，分卖点软文触达</w:t>
      </w:r>
      <w:r>
        <w:rPr>
          <w:rFonts w:ascii="微软雅黑" w:eastAsia="微软雅黑" w:hAnsi="微软雅黑" w:cs="Arial" w:hint="eastAsia"/>
          <w:color w:val="000000"/>
          <w:sz w:val="21"/>
        </w:rPr>
        <w:t>，情怀背书</w:t>
      </w:r>
      <w:r w:rsidRPr="00B32F5A">
        <w:rPr>
          <w:rFonts w:ascii="微软雅黑" w:eastAsia="微软雅黑" w:hAnsi="微软雅黑" w:cs="Arial" w:hint="eastAsia"/>
          <w:color w:val="000000"/>
          <w:sz w:val="21"/>
        </w:rPr>
        <w:t>-软文突出品牌调性及文化</w:t>
      </w:r>
      <w:r>
        <w:rPr>
          <w:rFonts w:ascii="微软雅黑" w:eastAsia="微软雅黑" w:hAnsi="微软雅黑" w:cs="Arial" w:hint="eastAsia"/>
          <w:color w:val="000000"/>
          <w:sz w:val="21"/>
        </w:rPr>
        <w:t>；</w:t>
      </w:r>
    </w:p>
    <w:p w14:paraId="7EF3E89E" w14:textId="376468F0" w:rsidR="00EC1132" w:rsidRPr="00296DC6" w:rsidRDefault="00EC1132" w:rsidP="007D7F0C">
      <w:pPr>
        <w:pStyle w:val="ac"/>
        <w:rPr>
          <w:rFonts w:ascii="微软雅黑" w:eastAsia="微软雅黑" w:hAnsi="微软雅黑" w:cs="Arial"/>
          <w:bCs/>
          <w:color w:val="000000"/>
          <w:sz w:val="21"/>
        </w:rPr>
      </w:pPr>
      <w:r w:rsidRPr="00EC1132">
        <w:rPr>
          <w:rFonts w:ascii="微软雅黑" w:eastAsia="微软雅黑" w:hAnsi="微软雅黑" w:cs="Arial" w:hint="eastAsia"/>
          <w:b/>
          <w:color w:val="000000"/>
          <w:sz w:val="21"/>
        </w:rPr>
        <w:t>C</w:t>
      </w:r>
      <w:r w:rsidR="00296DC6">
        <w:rPr>
          <w:rFonts w:ascii="微软雅黑" w:eastAsia="微软雅黑" w:hAnsi="微软雅黑" w:cs="Arial" w:hint="eastAsia"/>
          <w:b/>
          <w:color w:val="000000"/>
          <w:sz w:val="21"/>
        </w:rPr>
        <w:t>、</w:t>
      </w:r>
      <w:r w:rsidRPr="00EC1132">
        <w:rPr>
          <w:rFonts w:ascii="微软雅黑" w:eastAsia="微软雅黑" w:hAnsi="微软雅黑" w:cs="Arial" w:hint="eastAsia"/>
          <w:b/>
          <w:color w:val="000000"/>
          <w:sz w:val="21"/>
        </w:rPr>
        <w:t>首发期传播执行策略：</w:t>
      </w:r>
      <w:r w:rsidRPr="009B144F">
        <w:rPr>
          <w:rFonts w:ascii="微软雅黑" w:eastAsia="微软雅黑" w:hAnsi="微软雅黑" w:cs="Arial" w:hint="eastAsia"/>
          <w:color w:val="000000"/>
          <w:sz w:val="21"/>
        </w:rPr>
        <w:t>品牌及</w:t>
      </w:r>
      <w:r w:rsidRPr="00B32F5A">
        <w:rPr>
          <w:rFonts w:ascii="微软雅黑" w:eastAsia="微软雅黑" w:hAnsi="微软雅黑" w:cs="Arial" w:hint="eastAsia"/>
          <w:color w:val="000000"/>
          <w:sz w:val="21"/>
        </w:rPr>
        <w:t>软文类</w:t>
      </w:r>
      <w:r>
        <w:rPr>
          <w:rFonts w:ascii="微软雅黑" w:eastAsia="微软雅黑" w:hAnsi="微软雅黑" w:cs="Arial" w:hint="eastAsia"/>
          <w:color w:val="000000"/>
          <w:sz w:val="21"/>
        </w:rPr>
        <w:t>资源联动</w:t>
      </w:r>
      <w:r w:rsidRPr="00B32F5A">
        <w:rPr>
          <w:rFonts w:ascii="微软雅黑" w:eastAsia="微软雅黑" w:hAnsi="微软雅黑" w:cs="Arial" w:hint="eastAsia"/>
          <w:color w:val="000000"/>
          <w:sz w:val="21"/>
        </w:rPr>
        <w:t>—</w:t>
      </w:r>
      <w:r>
        <w:rPr>
          <w:rFonts w:ascii="微软雅黑" w:eastAsia="微软雅黑" w:hAnsi="微软雅黑" w:cs="Arial" w:hint="eastAsia"/>
          <w:color w:val="000000"/>
          <w:sz w:val="21"/>
        </w:rPr>
        <w:t>信息流、大鱼推广plus软文种草+电商卡片软文种草</w:t>
      </w:r>
      <w:r w:rsidR="00296DC6">
        <w:rPr>
          <w:rFonts w:ascii="微软雅黑" w:eastAsia="微软雅黑" w:hAnsi="微软雅黑" w:cs="Arial" w:hint="eastAsia"/>
          <w:color w:val="000000"/>
          <w:sz w:val="21"/>
        </w:rPr>
        <w:t>。</w:t>
      </w:r>
    </w:p>
    <w:p w14:paraId="6E300316" w14:textId="2948585E" w:rsidR="00EC1132" w:rsidRPr="00EC1132" w:rsidRDefault="00EC1132" w:rsidP="007D7F0C">
      <w:pPr>
        <w:pStyle w:val="ac"/>
        <w:rPr>
          <w:rFonts w:ascii="微软雅黑" w:eastAsia="微软雅黑" w:hAnsi="微软雅黑" w:cs="Arial"/>
          <w:b/>
          <w:bCs/>
          <w:color w:val="000000"/>
          <w:sz w:val="21"/>
        </w:rPr>
      </w:pPr>
      <w:r w:rsidRPr="00EC1132">
        <w:rPr>
          <w:rFonts w:ascii="微软雅黑" w:eastAsia="微软雅黑" w:hAnsi="微软雅黑" w:cs="Arial"/>
          <w:b/>
          <w:color w:val="000000"/>
          <w:sz w:val="21"/>
        </w:rPr>
        <w:t>2</w:t>
      </w:r>
      <w:r w:rsidR="00296DC6">
        <w:rPr>
          <w:rFonts w:ascii="微软雅黑" w:eastAsia="微软雅黑" w:hAnsi="微软雅黑" w:cs="Arial" w:hint="eastAsia"/>
          <w:b/>
          <w:color w:val="000000"/>
          <w:sz w:val="21"/>
        </w:rPr>
        <w:t>、</w:t>
      </w:r>
      <w:r w:rsidRPr="00EC1132">
        <w:rPr>
          <w:rFonts w:ascii="微软雅黑" w:eastAsia="微软雅黑" w:hAnsi="微软雅黑" w:cs="Arial" w:hint="eastAsia"/>
          <w:b/>
          <w:color w:val="000000"/>
          <w:sz w:val="21"/>
        </w:rPr>
        <w:t>平销期策略与传播执行：</w:t>
      </w:r>
    </w:p>
    <w:p w14:paraId="42F34F6A" w14:textId="6D493171" w:rsidR="00EC1132" w:rsidRDefault="00EC1132" w:rsidP="007D7F0C">
      <w:pPr>
        <w:pStyle w:val="ac"/>
        <w:rPr>
          <w:rFonts w:ascii="微软雅黑" w:eastAsia="微软雅黑" w:hAnsi="微软雅黑" w:cs="Arial"/>
          <w:bCs/>
          <w:color w:val="000000"/>
          <w:sz w:val="21"/>
        </w:rPr>
      </w:pPr>
      <w:r w:rsidRPr="00EC1132">
        <w:rPr>
          <w:rFonts w:ascii="微软雅黑" w:eastAsia="微软雅黑" w:hAnsi="微软雅黑" w:cs="Arial" w:hint="eastAsia"/>
          <w:b/>
          <w:color w:val="000000"/>
          <w:sz w:val="21"/>
        </w:rPr>
        <w:t>A</w:t>
      </w:r>
      <w:r w:rsidR="00296DC6">
        <w:rPr>
          <w:rFonts w:ascii="微软雅黑" w:eastAsia="微软雅黑" w:hAnsi="微软雅黑" w:cs="Arial" w:hint="eastAsia"/>
          <w:b/>
          <w:color w:val="000000"/>
          <w:sz w:val="21"/>
        </w:rPr>
        <w:t>、</w:t>
      </w:r>
      <w:r w:rsidRPr="00EC1132">
        <w:rPr>
          <w:rFonts w:ascii="微软雅黑" w:eastAsia="微软雅黑" w:hAnsi="微软雅黑" w:cs="Arial" w:hint="eastAsia"/>
          <w:b/>
          <w:color w:val="000000"/>
          <w:sz w:val="21"/>
        </w:rPr>
        <w:t>平销期目标：</w:t>
      </w:r>
      <w:r w:rsidRPr="00B32F5A">
        <w:rPr>
          <w:rFonts w:ascii="微软雅黑" w:eastAsia="微软雅黑" w:hAnsi="微软雅黑" w:cs="Arial" w:hint="eastAsia"/>
          <w:color w:val="000000"/>
          <w:sz w:val="21"/>
        </w:rPr>
        <w:t>承接前序人群、引导TA购买</w:t>
      </w:r>
      <w:r>
        <w:rPr>
          <w:rFonts w:ascii="微软雅黑" w:eastAsia="微软雅黑" w:hAnsi="微软雅黑" w:cs="Arial" w:hint="eastAsia"/>
          <w:color w:val="000000"/>
          <w:sz w:val="21"/>
        </w:rPr>
        <w:t>、</w:t>
      </w:r>
      <w:r w:rsidRPr="00C46EDC">
        <w:rPr>
          <w:rFonts w:ascii="微软雅黑" w:eastAsia="微软雅黑" w:hAnsi="微软雅黑" w:cs="Arial" w:hint="eastAsia"/>
          <w:color w:val="000000"/>
          <w:sz w:val="21"/>
        </w:rPr>
        <w:t>引导淘内检索、淘外持续拉新</w:t>
      </w:r>
      <w:r>
        <w:rPr>
          <w:rFonts w:ascii="微软雅黑" w:eastAsia="微软雅黑" w:hAnsi="微软雅黑" w:cs="Arial" w:hint="eastAsia"/>
          <w:color w:val="000000"/>
          <w:sz w:val="21"/>
        </w:rPr>
        <w:t>；</w:t>
      </w:r>
    </w:p>
    <w:p w14:paraId="4E4B3CD3" w14:textId="4D261A95" w:rsidR="00EC1132" w:rsidRDefault="00EC1132" w:rsidP="007D7F0C">
      <w:pPr>
        <w:pStyle w:val="ac"/>
        <w:rPr>
          <w:rFonts w:ascii="微软雅黑" w:eastAsia="微软雅黑" w:hAnsi="微软雅黑" w:cs="Arial"/>
          <w:color w:val="000000"/>
          <w:sz w:val="21"/>
        </w:rPr>
      </w:pPr>
      <w:r w:rsidRPr="00EC1132">
        <w:rPr>
          <w:rFonts w:ascii="微软雅黑" w:eastAsia="微软雅黑" w:hAnsi="微软雅黑" w:cs="Arial" w:hint="eastAsia"/>
          <w:b/>
          <w:color w:val="000000"/>
          <w:sz w:val="21"/>
        </w:rPr>
        <w:t>B</w:t>
      </w:r>
      <w:r w:rsidR="00296DC6">
        <w:rPr>
          <w:rFonts w:ascii="微软雅黑" w:eastAsia="微软雅黑" w:hAnsi="微软雅黑" w:cs="Arial" w:hint="eastAsia"/>
          <w:b/>
          <w:color w:val="000000"/>
          <w:sz w:val="21"/>
        </w:rPr>
        <w:t>、</w:t>
      </w:r>
      <w:r w:rsidRPr="00EC1132">
        <w:rPr>
          <w:rFonts w:ascii="微软雅黑" w:eastAsia="微软雅黑" w:hAnsi="微软雅黑" w:cs="Arial" w:hint="eastAsia"/>
          <w:b/>
          <w:color w:val="000000"/>
          <w:sz w:val="21"/>
        </w:rPr>
        <w:t>平销期人群策略：</w:t>
      </w:r>
      <w:r w:rsidRPr="00C46EDC">
        <w:rPr>
          <w:rFonts w:ascii="微软雅黑" w:eastAsia="微软雅黑" w:hAnsi="微软雅黑" w:cs="Arial" w:hint="eastAsia"/>
          <w:color w:val="000000"/>
          <w:sz w:val="21"/>
        </w:rPr>
        <w:t>潜客人群互动参与-品牌认知-淘内回搜-人群再营销-淘内购买</w:t>
      </w:r>
      <w:r>
        <w:rPr>
          <w:rFonts w:ascii="微软雅黑" w:eastAsia="微软雅黑" w:hAnsi="微软雅黑" w:cs="Arial" w:hint="eastAsia"/>
          <w:color w:val="000000"/>
          <w:sz w:val="21"/>
        </w:rPr>
        <w:t>；</w:t>
      </w:r>
    </w:p>
    <w:p w14:paraId="6DBBE0AF" w14:textId="1C8C7B6F" w:rsidR="007A4E3A" w:rsidRPr="00EC1132" w:rsidRDefault="00EC1132" w:rsidP="007D7F0C">
      <w:pPr>
        <w:pStyle w:val="ac"/>
        <w:rPr>
          <w:rFonts w:ascii="微软雅黑" w:eastAsia="微软雅黑" w:hAnsi="微软雅黑" w:cs="Arial"/>
          <w:b/>
          <w:color w:val="000000"/>
          <w:sz w:val="21"/>
        </w:rPr>
      </w:pPr>
      <w:r w:rsidRPr="00EC1132">
        <w:rPr>
          <w:rFonts w:ascii="微软雅黑" w:eastAsia="微软雅黑" w:hAnsi="微软雅黑" w:cs="Arial" w:hint="eastAsia"/>
          <w:b/>
          <w:color w:val="000000"/>
          <w:sz w:val="21"/>
        </w:rPr>
        <w:t>C</w:t>
      </w:r>
      <w:r w:rsidR="00296DC6">
        <w:rPr>
          <w:rFonts w:ascii="微软雅黑" w:eastAsia="微软雅黑" w:hAnsi="微软雅黑" w:cs="Arial" w:hint="eastAsia"/>
          <w:b/>
          <w:color w:val="000000"/>
          <w:sz w:val="21"/>
        </w:rPr>
        <w:t>、</w:t>
      </w:r>
      <w:r w:rsidRPr="00EC1132">
        <w:rPr>
          <w:rFonts w:ascii="微软雅黑" w:eastAsia="微软雅黑" w:hAnsi="微软雅黑" w:cs="Arial" w:hint="eastAsia"/>
          <w:b/>
          <w:color w:val="000000"/>
          <w:sz w:val="21"/>
        </w:rPr>
        <w:t>平销期传播执行策略：</w:t>
      </w:r>
      <w:r w:rsidRPr="009B144F">
        <w:rPr>
          <w:rFonts w:ascii="微软雅黑" w:eastAsia="微软雅黑" w:hAnsi="微软雅黑" w:cs="Arial" w:hint="eastAsia"/>
          <w:color w:val="000000"/>
          <w:sz w:val="21"/>
        </w:rPr>
        <w:t>入淘产品及</w:t>
      </w:r>
      <w:r w:rsidRPr="00C46EDC">
        <w:rPr>
          <w:rFonts w:ascii="微软雅黑" w:eastAsia="微软雅黑" w:hAnsi="微软雅黑" w:cs="Arial" w:hint="eastAsia"/>
          <w:color w:val="000000"/>
          <w:sz w:val="21"/>
        </w:rPr>
        <w:t>竞价类资源联动</w:t>
      </w:r>
      <w:r>
        <w:rPr>
          <w:rFonts w:ascii="微软雅黑" w:eastAsia="微软雅黑" w:hAnsi="微软雅黑" w:cs="Arial" w:hint="eastAsia"/>
          <w:color w:val="000000"/>
          <w:sz w:val="21"/>
        </w:rPr>
        <w:t>传播</w:t>
      </w:r>
      <w:r w:rsidRPr="00C46EDC">
        <w:rPr>
          <w:rFonts w:ascii="微软雅黑" w:eastAsia="微软雅黑" w:hAnsi="微软雅黑" w:cs="Arial" w:hint="eastAsia"/>
          <w:color w:val="000000"/>
          <w:sz w:val="21"/>
          <w:szCs w:val="21"/>
        </w:rPr>
        <w:t>—</w:t>
      </w:r>
      <w:r>
        <w:rPr>
          <w:rFonts w:ascii="微软雅黑" w:eastAsia="微软雅黑" w:hAnsi="微软雅黑" w:cs="Arial" w:hint="eastAsia"/>
          <w:color w:val="000000"/>
          <w:sz w:val="21"/>
          <w:szCs w:val="21"/>
        </w:rPr>
        <w:t>易达产品一键关注、加购与购买，</w:t>
      </w:r>
      <w:r w:rsidRPr="00C46EDC">
        <w:rPr>
          <w:rFonts w:ascii="微软雅黑" w:eastAsia="微软雅黑" w:hAnsi="微软雅黑" w:cs="Arial" w:hint="eastAsia"/>
          <w:color w:val="000000"/>
          <w:sz w:val="21"/>
          <w:szCs w:val="21"/>
        </w:rPr>
        <w:t>天猫店铺-电商人群+电商模型（CID/一电）+电商样式+回流DB</w:t>
      </w:r>
      <w:r w:rsidR="00296DC6">
        <w:rPr>
          <w:rFonts w:ascii="微软雅黑" w:eastAsia="微软雅黑" w:hAnsi="微软雅黑" w:cs="Arial" w:hint="eastAsia"/>
          <w:color w:val="000000"/>
          <w:sz w:val="21"/>
        </w:rPr>
        <w:t>。</w:t>
      </w:r>
    </w:p>
    <w:p w14:paraId="42F98493" w14:textId="4C6C1BE9" w:rsidR="00847B24" w:rsidRPr="005F5C93" w:rsidRDefault="00895DAD" w:rsidP="007270CB">
      <w:pPr>
        <w:spacing w:before="100" w:beforeAutospacing="1" w:after="100" w:afterAutospacing="1"/>
        <w:textAlignment w:val="baseline"/>
        <w:rPr>
          <w:rFonts w:ascii="微软雅黑" w:eastAsia="微软雅黑" w:hAnsi="微软雅黑"/>
          <w:sz w:val="21"/>
          <w:szCs w:val="21"/>
        </w:rPr>
      </w:pPr>
      <w:r w:rsidRPr="00895DAD">
        <w:rPr>
          <w:rFonts w:ascii="微软雅黑" w:eastAsia="微软雅黑" w:hAnsi="微软雅黑"/>
          <w:sz w:val="21"/>
          <w:szCs w:val="21"/>
        </w:rPr>
        <w:lastRenderedPageBreak/>
        <w:drawing>
          <wp:inline distT="0" distB="0" distL="0" distR="0" wp14:anchorId="6A77A9F6" wp14:editId="1EA870C2">
            <wp:extent cx="5720715" cy="2542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542540"/>
                    </a:xfrm>
                    <a:prstGeom prst="rect">
                      <a:avLst/>
                    </a:prstGeom>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748091DF" w14:textId="64F061FC" w:rsidR="00CD031B" w:rsidRPr="00296DC6" w:rsidRDefault="00384C5D" w:rsidP="004D6A4D">
      <w:pPr>
        <w:pStyle w:val="af4"/>
        <w:spacing w:line="460" w:lineRule="exact"/>
        <w:rPr>
          <w:rFonts w:ascii="微软雅黑" w:eastAsia="微软雅黑" w:hAnsi="微软雅黑"/>
          <w:color w:val="000000"/>
          <w:spacing w:val="8"/>
          <w:shd w:val="clear" w:color="auto" w:fill="FFFFFF"/>
        </w:rPr>
      </w:pPr>
      <w:r w:rsidRPr="00296DC6">
        <w:rPr>
          <w:rFonts w:ascii="微软雅黑" w:eastAsia="微软雅黑" w:hAnsi="微软雅黑" w:cs="Arial" w:hint="eastAsia"/>
          <w:color w:val="000000"/>
          <w:sz w:val="21"/>
          <w:szCs w:val="20"/>
        </w:rPr>
        <w:t>本次合作7日</w:t>
      </w:r>
      <w:bookmarkStart w:id="0" w:name="_GoBack"/>
      <w:bookmarkEnd w:id="0"/>
      <w:r w:rsidRPr="00296DC6">
        <w:rPr>
          <w:rFonts w:ascii="微软雅黑" w:eastAsia="微软雅黑" w:hAnsi="微软雅黑" w:cs="Arial" w:hint="eastAsia"/>
          <w:color w:val="000000"/>
          <w:sz w:val="21"/>
          <w:szCs w:val="20"/>
        </w:rPr>
        <w:t>沉淀ROI较历史项目提升</w:t>
      </w:r>
      <w:r w:rsidRPr="00895DAD">
        <w:rPr>
          <w:rFonts w:ascii="微软雅黑" w:eastAsia="微软雅黑" w:hAnsi="微软雅黑" w:hint="eastAsia"/>
          <w:b/>
          <w:color w:val="000000"/>
          <w:spacing w:val="8"/>
          <w:shd w:val="clear" w:color="auto" w:fill="FFFFFF"/>
        </w:rPr>
        <w:t>50%+</w:t>
      </w:r>
      <w:r w:rsidRPr="00850ED9">
        <w:rPr>
          <w:rFonts w:ascii="微软雅黑" w:eastAsia="微软雅黑" w:hAnsi="微软雅黑" w:hint="eastAsia"/>
          <w:color w:val="000000"/>
          <w:spacing w:val="8"/>
          <w:shd w:val="clear" w:color="auto" w:fill="FFFFFF"/>
        </w:rPr>
        <w:t>。</w:t>
      </w:r>
    </w:p>
    <w:sectPr w:rsidR="00CD031B" w:rsidRPr="00296DC6" w:rsidSect="00970C56">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1E99D" w14:textId="77777777" w:rsidR="0094610E" w:rsidRDefault="0094610E">
      <w:r>
        <w:separator/>
      </w:r>
    </w:p>
  </w:endnote>
  <w:endnote w:type="continuationSeparator" w:id="0">
    <w:p w14:paraId="52D25D6E" w14:textId="77777777" w:rsidR="0094610E" w:rsidRDefault="0094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6FF5" w14:textId="77777777" w:rsidR="001363DE" w:rsidRDefault="001363D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850E2" w14:textId="77777777" w:rsidR="0094610E" w:rsidRDefault="0094610E">
      <w:r>
        <w:separator/>
      </w:r>
    </w:p>
  </w:footnote>
  <w:footnote w:type="continuationSeparator" w:id="0">
    <w:p w14:paraId="3236E420" w14:textId="77777777" w:rsidR="0094610E" w:rsidRDefault="00946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40606" w14:textId="77777777" w:rsidR="001363DE" w:rsidRDefault="001363DE">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BA105" w14:textId="77777777" w:rsidR="001363DE" w:rsidRDefault="001363D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F6F3364"/>
    <w:multiLevelType w:val="hybridMultilevel"/>
    <w:tmpl w:val="58F876AE"/>
    <w:lvl w:ilvl="0" w:tplc="09BA61B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AB22059"/>
    <w:multiLevelType w:val="hybridMultilevel"/>
    <w:tmpl w:val="543C0230"/>
    <w:lvl w:ilvl="0" w:tplc="5A281D46">
      <w:start w:val="1"/>
      <w:numFmt w:val="decimal"/>
      <w:lvlText w:val="%1."/>
      <w:lvlJc w:val="left"/>
      <w:pPr>
        <w:ind w:left="280" w:hanging="28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DC56917"/>
    <w:multiLevelType w:val="hybridMultilevel"/>
    <w:tmpl w:val="0EF40790"/>
    <w:lvl w:ilvl="0" w:tplc="E1ECDBD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2"/>
  </w:num>
  <w:num w:numId="4">
    <w:abstractNumId w:val="5"/>
  </w:num>
  <w:num w:numId="5">
    <w:abstractNumId w:val="0"/>
  </w:num>
  <w:num w:numId="6">
    <w:abstractNumId w:val="19"/>
  </w:num>
  <w:num w:numId="7">
    <w:abstractNumId w:val="17"/>
  </w:num>
  <w:num w:numId="8">
    <w:abstractNumId w:val="12"/>
  </w:num>
  <w:num w:numId="9">
    <w:abstractNumId w:val="11"/>
  </w:num>
  <w:num w:numId="10">
    <w:abstractNumId w:val="10"/>
  </w:num>
  <w:num w:numId="11">
    <w:abstractNumId w:val="14"/>
  </w:num>
  <w:num w:numId="12">
    <w:abstractNumId w:val="18"/>
  </w:num>
  <w:num w:numId="13">
    <w:abstractNumId w:val="6"/>
  </w:num>
  <w:num w:numId="14">
    <w:abstractNumId w:val="15"/>
  </w:num>
  <w:num w:numId="15">
    <w:abstractNumId w:val="3"/>
  </w:num>
  <w:num w:numId="16">
    <w:abstractNumId w:val="4"/>
  </w:num>
  <w:num w:numId="17">
    <w:abstractNumId w:val="1"/>
  </w:num>
  <w:num w:numId="18">
    <w:abstractNumId w:val="7"/>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21FF"/>
    <w:rsid w:val="00024497"/>
    <w:rsid w:val="00030A60"/>
    <w:rsid w:val="00046CF7"/>
    <w:rsid w:val="00051A9A"/>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3DE"/>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478E9"/>
    <w:rsid w:val="00250580"/>
    <w:rsid w:val="00252186"/>
    <w:rsid w:val="00255B1F"/>
    <w:rsid w:val="00262A77"/>
    <w:rsid w:val="00266A5B"/>
    <w:rsid w:val="002707E7"/>
    <w:rsid w:val="00270EF0"/>
    <w:rsid w:val="002712AF"/>
    <w:rsid w:val="00274F8A"/>
    <w:rsid w:val="002826E2"/>
    <w:rsid w:val="00290500"/>
    <w:rsid w:val="00296DC6"/>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57C58"/>
    <w:rsid w:val="00361FEC"/>
    <w:rsid w:val="00362043"/>
    <w:rsid w:val="00365FAB"/>
    <w:rsid w:val="00371D9E"/>
    <w:rsid w:val="00371F8B"/>
    <w:rsid w:val="00384C5D"/>
    <w:rsid w:val="00386776"/>
    <w:rsid w:val="00386E93"/>
    <w:rsid w:val="0038758A"/>
    <w:rsid w:val="003A2FD7"/>
    <w:rsid w:val="003A3097"/>
    <w:rsid w:val="003A3802"/>
    <w:rsid w:val="003B4784"/>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273F"/>
    <w:rsid w:val="004A4904"/>
    <w:rsid w:val="004C539E"/>
    <w:rsid w:val="004D3EF9"/>
    <w:rsid w:val="004D53A9"/>
    <w:rsid w:val="004D6A4D"/>
    <w:rsid w:val="004E459E"/>
    <w:rsid w:val="004E704D"/>
    <w:rsid w:val="004F1372"/>
    <w:rsid w:val="004F1399"/>
    <w:rsid w:val="004F1825"/>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091D"/>
    <w:rsid w:val="005F5C93"/>
    <w:rsid w:val="006053F3"/>
    <w:rsid w:val="00607F37"/>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E1642"/>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D7F0C"/>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95DAD"/>
    <w:rsid w:val="008B2200"/>
    <w:rsid w:val="008B689B"/>
    <w:rsid w:val="008C2693"/>
    <w:rsid w:val="008F2CAF"/>
    <w:rsid w:val="00902EA3"/>
    <w:rsid w:val="00903505"/>
    <w:rsid w:val="00904242"/>
    <w:rsid w:val="0090431A"/>
    <w:rsid w:val="009076EA"/>
    <w:rsid w:val="00910C5D"/>
    <w:rsid w:val="00911F7D"/>
    <w:rsid w:val="00913B2E"/>
    <w:rsid w:val="00915DD8"/>
    <w:rsid w:val="009205FC"/>
    <w:rsid w:val="00932225"/>
    <w:rsid w:val="00932353"/>
    <w:rsid w:val="0094610E"/>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3B59"/>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566CA"/>
    <w:rsid w:val="00C657FA"/>
    <w:rsid w:val="00C67E7C"/>
    <w:rsid w:val="00C73B42"/>
    <w:rsid w:val="00C93159"/>
    <w:rsid w:val="00C96025"/>
    <w:rsid w:val="00CA397B"/>
    <w:rsid w:val="00CA426C"/>
    <w:rsid w:val="00CB2251"/>
    <w:rsid w:val="00CB2938"/>
    <w:rsid w:val="00CB29C6"/>
    <w:rsid w:val="00CB462E"/>
    <w:rsid w:val="00CB4A74"/>
    <w:rsid w:val="00CC12DC"/>
    <w:rsid w:val="00CC24FE"/>
    <w:rsid w:val="00CC70FB"/>
    <w:rsid w:val="00CD031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DF6820"/>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1132"/>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rsid w:val="001D3F3B"/>
  </w:style>
  <w:style w:type="character" w:customStyle="1" w:styleId="af5">
    <w:name w:val="批注文字 字符"/>
    <w:basedOn w:val="a0"/>
    <w:link w:val="af4"/>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table" w:customStyle="1" w:styleId="11">
    <w:name w:val="无格式表格 11"/>
    <w:basedOn w:val="a1"/>
    <w:uiPriority w:val="41"/>
    <w:rsid w:val="00EC11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F40CEAD-026B-7B46-A7C4-3D5C9EEBE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195</Words>
  <Characters>1116</Characters>
  <Application>Microsoft Office Word</Application>
  <DocSecurity>0</DocSecurity>
  <PresentationFormat/>
  <Lines>9</Lines>
  <Paragraphs>2</Paragraphs>
  <Slides>0</Slides>
  <Notes>0</Notes>
  <HiddenSlides>0</HiddenSlides>
  <MMClips>0</MMClips>
  <ScaleCrop>false</ScaleCrop>
  <Company>WWW.YlmF.CoM</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4</cp:revision>
  <cp:lastPrinted>2012-10-11T08:46:00Z</cp:lastPrinted>
  <dcterms:created xsi:type="dcterms:W3CDTF">2023-02-03T07:04:00Z</dcterms:created>
  <dcterms:modified xsi:type="dcterms:W3CDTF">2023-02-19T14:36:00Z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