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腾讯游戏人生</w:t>
      </w:r>
    </w:p>
    <w:p>
      <w:pPr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报送公司：</w:t>
      </w:r>
      <w:r>
        <w:rPr>
          <w:rFonts w:hint="eastAsia" w:ascii="微软雅黑" w:hAnsi="微软雅黑" w:eastAsia="微软雅黑"/>
          <w:bCs/>
        </w:rPr>
        <w:t>腾讯游戏</w:t>
      </w:r>
    </w:p>
    <w:p>
      <w:pPr>
        <w:textAlignment w:val="baseline"/>
        <w:rPr>
          <w:b/>
          <w:color w:val="FF0000"/>
          <w:szCs w:val="21"/>
        </w:rPr>
      </w:pPr>
      <w:r>
        <w:rPr>
          <w:rFonts w:hint="eastAsia" w:ascii="微软雅黑" w:hAnsi="微软雅黑" w:eastAsia="微软雅黑"/>
          <w:b/>
        </w:rPr>
        <w:t>参选类别：</w:t>
      </w:r>
      <w:r>
        <w:rPr>
          <w:rFonts w:hint="eastAsia" w:ascii="微软雅黑" w:hAnsi="微软雅黑" w:eastAsia="微软雅黑"/>
          <w:kern w:val="0"/>
        </w:rPr>
        <w:t>年度最佳数字营销平台</w:t>
      </w:r>
    </w:p>
    <w:p>
      <w:pPr>
        <w:widowControl/>
        <w:spacing w:before="100" w:beforeAutospacing="1" w:after="100" w:afterAutospacing="1"/>
        <w:jc w:val="left"/>
        <w:textAlignment w:val="baseline"/>
        <w:rPr>
          <w:rFonts w:ascii="微软雅黑" w:hAnsi="微软雅黑" w:eastAsia="微软雅黑" w:cs="宋体"/>
          <w:b/>
          <w:color w:val="C79E5B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b/>
          <w:color w:val="C79E5B"/>
          <w:kern w:val="0"/>
          <w:sz w:val="28"/>
          <w:szCs w:val="24"/>
        </w:rPr>
        <w:t>简介</w:t>
      </w:r>
    </w:p>
    <w:p>
      <w:pPr>
        <w:spacing w:before="240" w:beforeLines="100" w:after="240" w:afterLines="100"/>
        <w:jc w:val="left"/>
        <w:textAlignment w:val="baseline"/>
        <w:rPr>
          <w:rFonts w:ascii="微软雅黑" w:hAnsi="微软雅黑" w:eastAsia="微软雅黑"/>
          <w:b/>
          <w:bCs/>
          <w:kern w:val="0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腾讯游戏人生：腾讯游戏官方商户合作平台/腾讯游戏官方赛事服务平台</w:t>
      </w:r>
    </w:p>
    <w:p>
      <w:pPr>
        <w:rPr>
          <w:rFonts w:ascii="微软雅黑" w:hAnsi="微软雅黑" w:eastAsia="微软雅黑"/>
          <w:bCs/>
          <w:kern w:val="0"/>
          <w:szCs w:val="21"/>
        </w:rPr>
      </w:pPr>
      <w:r>
        <w:rPr>
          <w:rFonts w:hint="eastAsia" w:ascii="微软雅黑" w:hAnsi="微软雅黑" w:eastAsia="微软雅黑"/>
          <w:bCs/>
          <w:kern w:val="0"/>
          <w:szCs w:val="21"/>
        </w:rPr>
        <w:t>各行业的引流、获客成本不断激增，传统经营模式所面临的压力日益增大。在这样的大环境下，各行业借助数字产品打通线上与线下，实现与更多年轻消费者的连接，通过经营与品牌营销的数字化转型来节约营销成本，无疑迫在眉睫。</w:t>
      </w:r>
    </w:p>
    <w:p>
      <w:pPr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</w:rPr>
        <w:t>而在众多数字化营销形式中，游戏营销因其依托于受众群体庞大、用户普遍年轻化、互动性强且黏着度较高的各类热门游戏产品，而成为公认的数字化品牌营销高地，近年来已有越来越多的行业品牌开始尝试游戏营销</w:t>
      </w:r>
      <w:r>
        <w:rPr>
          <w:rFonts w:hint="eastAsia" w:ascii="微软雅黑" w:hAnsi="微软雅黑" w:eastAsia="微软雅黑"/>
          <w:lang w:eastAsia="zh-CN"/>
        </w:rPr>
        <w:t>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  <w:bCs/>
        </w:rPr>
        <w:t>腾讯游戏人生</w:t>
      </w:r>
      <w:r>
        <w:rPr>
          <w:rFonts w:hint="eastAsia" w:ascii="微软雅黑" w:hAnsi="微软雅黑" w:eastAsia="微软雅黑"/>
        </w:rPr>
        <w:t>，是腾讯互动娱乐旗下一个开创性的To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B品牌，联动腾讯游戏、电竞赛事等丰富数字文创内容，以产品营销方案，实现各行业与数字文创的引流增长、赋能共赢。聚焦游戏营销为腾讯游戏官方商户合作平台，聚焦电竞赛事为腾讯游戏官方赛事服务平台。</w:t>
      </w:r>
    </w:p>
    <w:p>
      <w:pPr>
        <w:widowControl/>
        <w:jc w:val="left"/>
        <w:rPr>
          <w:rFonts w:hint="eastAsia"/>
          <w:sz w:val="18"/>
        </w:rPr>
      </w:pPr>
      <w:r>
        <w:rPr>
          <w:rFonts w:ascii="微软雅黑" w:hAnsi="微软雅黑" w:eastAsia="微软雅黑"/>
          <w:szCs w:val="21"/>
        </w:rPr>
        <w:t>腾讯游戏官方商户合作平台&amp;腾讯游戏官方赛事服务平台</w:t>
      </w:r>
      <w:r>
        <w:rPr>
          <w:rFonts w:hint="eastAsia" w:ascii="微软雅黑" w:hAnsi="微软雅黑" w:eastAsia="微软雅黑"/>
          <w:szCs w:val="21"/>
        </w:rPr>
        <w:t>，连接腾讯游戏和各行业品牌，实现引流增长，赋能共赢。</w:t>
      </w:r>
    </w:p>
    <w:p>
      <w:pPr>
        <w:widowControl/>
        <w:spacing w:before="100" w:beforeAutospacing="1" w:after="100" w:afterAutospacing="1"/>
        <w:jc w:val="left"/>
        <w:textAlignment w:val="baseline"/>
        <w:rPr>
          <w:rFonts w:ascii="微软雅黑" w:hAnsi="微软雅黑" w:eastAsia="微软雅黑" w:cs="宋体"/>
          <w:b/>
          <w:color w:val="C79E5B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b/>
          <w:color w:val="C79E5B"/>
          <w:kern w:val="0"/>
          <w:sz w:val="28"/>
          <w:szCs w:val="24"/>
        </w:rPr>
        <w:t>使用说明</w:t>
      </w:r>
    </w:p>
    <w:p>
      <w:pPr>
        <w:widowControl/>
        <w:snapToGrid w:val="0"/>
        <w:spacing w:before="100" w:beforeAutospacing="1" w:after="100" w:afterAutospacing="1"/>
        <w:jc w:val="left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一、背景</w:t>
      </w:r>
    </w:p>
    <w:p>
      <w:pPr>
        <w:snapToGrid w:val="0"/>
        <w:spacing w:before="100" w:beforeAutospacing="1" w:after="100" w:afterAutospacing="1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kern w:val="0"/>
          <w:szCs w:val="21"/>
        </w:rPr>
        <w:t>腾讯游戏官方商户合作平台&amp;腾讯游戏官方赛事服务平台</w:t>
      </w:r>
      <w:r>
        <w:rPr>
          <w:rFonts w:hint="eastAsia" w:ascii="微软雅黑" w:hAnsi="微软雅黑" w:eastAsia="微软雅黑"/>
          <w:bCs/>
          <w:szCs w:val="21"/>
        </w:rPr>
        <w:t>是腾讯游戏与行业市场双向需求洞察下的商业机会与产品力布局。</w:t>
      </w:r>
    </w:p>
    <w:p>
      <w:pPr>
        <w:widowControl/>
        <w:snapToGrid w:val="0"/>
        <w:spacing w:before="100" w:beforeAutospacing="1" w:after="100" w:afterAutospacing="1"/>
        <w:jc w:val="left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0453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before="100" w:beforeAutospacing="1" w:after="100" w:afterAutospacing="1"/>
        <w:jc w:val="left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二、平台介绍</w:t>
      </w:r>
    </w:p>
    <w:p>
      <w:pPr>
        <w:widowControl/>
        <w:snapToGrid w:val="0"/>
        <w:spacing w:before="100" w:beforeAutospacing="1" w:after="100" w:afterAutospacing="1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腾讯游戏官方商户合作平台&amp;腾讯游戏官方赛事服务平台是“B-B-C”开创性创新性商业模式，建立游戏场景营销低成本高覆盖的全链路产品力，助力各行业场景的经营增长。</w:t>
      </w:r>
    </w:p>
    <w:p>
      <w:pPr>
        <w:widowControl/>
        <w:snapToGrid w:val="0"/>
        <w:spacing w:before="100" w:beforeAutospacing="1" w:after="100" w:afterAutospacing="1"/>
        <w:jc w:val="left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5025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before="100" w:beforeAutospacing="1" w:after="100" w:afterAutospacing="1"/>
        <w:jc w:val="left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三、满足各行业</w:t>
      </w:r>
      <w:r>
        <w:rPr>
          <w:rFonts w:ascii="微软雅黑" w:hAnsi="微软雅黑" w:eastAsia="微软雅黑"/>
          <w:b/>
          <w:bCs/>
        </w:rPr>
        <w:t>/</w:t>
      </w:r>
      <w:r>
        <w:rPr>
          <w:rFonts w:hint="eastAsia" w:ascii="微软雅黑" w:hAnsi="微软雅黑" w:eastAsia="微软雅黑"/>
          <w:b/>
          <w:bCs/>
        </w:rPr>
        <w:t>品牌营销需求</w:t>
      </w:r>
    </w:p>
    <w:p>
      <w:pPr>
        <w:widowControl/>
        <w:snapToGrid w:val="0"/>
        <w:spacing w:before="100" w:beforeAutospacing="1" w:after="100" w:afterAutospacing="1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数字化营销产品力及线上下解决方案，触达C端，满足B端的营销需求。</w:t>
      </w:r>
    </w:p>
    <w:p>
      <w:pPr>
        <w:widowControl/>
        <w:snapToGrid w:val="0"/>
        <w:spacing w:before="100" w:beforeAutospacing="1" w:after="100" w:afterAutospacing="1"/>
        <w:jc w:val="left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4415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before="100" w:beforeAutospacing="1" w:after="100" w:afterAutospacing="1"/>
        <w:jc w:val="left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四、平台特性</w:t>
      </w:r>
    </w:p>
    <w:p>
      <w:pPr>
        <w:pStyle w:val="21"/>
        <w:widowControl/>
        <w:numPr>
          <w:ilvl w:val="0"/>
          <w:numId w:val="1"/>
        </w:numPr>
        <w:snapToGrid w:val="0"/>
        <w:spacing w:before="100" w:beforeAutospacing="1" w:after="100" w:afterAutospacing="1"/>
        <w:ind w:firstLineChars="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利用产品力驱动腾讯游戏和各行业品牌跨界营销：首个利用产品力驱动通过腾讯游戏、电竞赛事跨界各行业业态进行跨界营销平台；</w:t>
      </w:r>
    </w:p>
    <w:p>
      <w:pPr>
        <w:pStyle w:val="21"/>
        <w:widowControl/>
        <w:numPr>
          <w:ilvl w:val="0"/>
          <w:numId w:val="1"/>
        </w:numPr>
        <w:snapToGrid w:val="0"/>
        <w:spacing w:before="100" w:beforeAutospacing="1" w:after="100" w:afterAutospacing="1"/>
        <w:ind w:firstLineChars="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提供数字化跨界营销一站式服务平台：提供营销方案、产品技术支持和智能化后台操作系统，提供高效、精准、优质的一站式营销服务平台；</w:t>
      </w:r>
    </w:p>
    <w:p>
      <w:pPr>
        <w:pStyle w:val="21"/>
        <w:widowControl/>
        <w:numPr>
          <w:ilvl w:val="0"/>
          <w:numId w:val="1"/>
        </w:numPr>
        <w:snapToGrid w:val="0"/>
        <w:spacing w:before="100" w:beforeAutospacing="1" w:after="100" w:afterAutospacing="1"/>
        <w:ind w:firstLineChars="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通过产品力实现品销合一的平台：不同以往的游戏跨界营销，从单一的品牌曝光和事件营销提升品牌知名度，升级到品牌可以通过腾讯游戏人生产品实现销售转化，在提升品牌力的同时，实现效果转化；</w:t>
      </w:r>
    </w:p>
    <w:p>
      <w:pPr>
        <w:pStyle w:val="21"/>
        <w:widowControl/>
        <w:numPr>
          <w:ilvl w:val="0"/>
          <w:numId w:val="1"/>
        </w:numPr>
        <w:snapToGrid w:val="0"/>
        <w:spacing w:before="100" w:beforeAutospacing="1" w:after="100" w:afterAutospacing="1"/>
        <w:ind w:firstLineChars="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平台开放性：腾讯游戏人生接受各行业业态跨界服务需求，已经跟餐饮、智慧零售、商圈、3C、酒旅、房地产、社区、旅游景区等多行业进行跨界合作。</w:t>
      </w:r>
    </w:p>
    <w:p>
      <w:pPr>
        <w:widowControl/>
        <w:snapToGrid w:val="0"/>
        <w:spacing w:before="100" w:beforeAutospacing="1" w:after="100" w:afterAutospacing="1"/>
        <w:jc w:val="left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五、连接腾讯游戏 共享经营增长</w:t>
      </w:r>
    </w:p>
    <w:p>
      <w:pPr>
        <w:snapToGrid w:val="0"/>
        <w:spacing w:before="100" w:beforeAutospacing="1" w:after="100" w:afterAutospacing="1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通过腾讯游戏热门游戏如王者荣耀、和平精英、欢乐斗地主、欢乐麻将、英雄联盟等游戏营销节点、赛事节点，免费授权合作品牌指定游戏IP的使用权，通过腾讯游戏人生平台提供的营销产品、营销玩法，实现合作品牌在游戏中的曝光、引流（直接通过产品力实现游戏玩家引入到合作品牌的私域流程，实现引流和转化），实现增长。</w:t>
      </w:r>
    </w:p>
    <w:p>
      <w:pPr>
        <w:widowControl/>
        <w:snapToGrid w:val="0"/>
        <w:spacing w:before="100" w:beforeAutospacing="1" w:after="100" w:afterAutospacing="1"/>
        <w:jc w:val="left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六、平台整体效果</w:t>
      </w:r>
    </w:p>
    <w:p>
      <w:pPr>
        <w:snapToGrid w:val="0"/>
        <w:spacing w:before="100" w:beforeAutospacing="1" w:after="100" w:afterAutospacing="1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2022</w:t>
      </w:r>
      <w:r>
        <w:rPr>
          <w:rFonts w:hint="eastAsia" w:ascii="微软雅黑" w:hAnsi="微软雅黑" w:eastAsia="微软雅黑"/>
        </w:rPr>
        <w:t>年期间，腾讯游戏人生平台为近</w:t>
      </w:r>
      <w:r>
        <w:rPr>
          <w:rFonts w:ascii="微软雅黑" w:hAnsi="微软雅黑" w:eastAsia="微软雅黑"/>
        </w:rPr>
        <w:t>3</w:t>
      </w:r>
      <w:r>
        <w:rPr>
          <w:rFonts w:hint="eastAsia" w:ascii="微软雅黑" w:hAnsi="微软雅黑" w:eastAsia="微软雅黑"/>
        </w:rPr>
        <w:t>千个品牌提供营销服务，为超</w:t>
      </w:r>
      <w:r>
        <w:rPr>
          <w:rFonts w:ascii="微软雅黑" w:hAnsi="微软雅黑" w:eastAsia="微软雅黑"/>
        </w:rPr>
        <w:t>500</w:t>
      </w:r>
      <w:r>
        <w:rPr>
          <w:rFonts w:hint="eastAsia" w:ascii="微软雅黑" w:hAnsi="微软雅黑" w:eastAsia="微软雅黑"/>
        </w:rPr>
        <w:t>万线下商户实现引流。</w:t>
      </w:r>
    </w:p>
    <w:p>
      <w:pPr>
        <w:widowControl/>
        <w:snapToGrid w:val="0"/>
        <w:spacing w:before="100" w:beforeAutospacing="1" w:after="100" w:afterAutospacing="1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1、助力合作品牌节触达游戏用户1</w:t>
      </w:r>
      <w:r>
        <w:rPr>
          <w:rFonts w:ascii="微软雅黑" w:hAnsi="微软雅黑" w:eastAsia="微软雅黑"/>
        </w:rPr>
        <w:t>.4</w:t>
      </w:r>
      <w:r>
        <w:rPr>
          <w:rFonts w:hint="eastAsia" w:ascii="微软雅黑" w:hAnsi="微软雅黑" w:eastAsia="微软雅黑"/>
        </w:rPr>
        <w:t>亿人次；</w:t>
      </w:r>
    </w:p>
    <w:p>
      <w:pPr>
        <w:widowControl/>
        <w:snapToGrid w:val="0"/>
        <w:spacing w:before="100" w:beforeAutospacing="1" w:after="100" w:afterAutospacing="1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2、助力合作品牌节省营销成本</w:t>
      </w:r>
      <w:r>
        <w:rPr>
          <w:rFonts w:ascii="微软雅黑" w:hAnsi="微软雅黑" w:eastAsia="微软雅黑"/>
        </w:rPr>
        <w:t>30</w:t>
      </w:r>
      <w:r>
        <w:rPr>
          <w:rFonts w:hint="eastAsia" w:ascii="微软雅黑" w:hAnsi="微软雅黑" w:eastAsia="微软雅黑"/>
        </w:rPr>
        <w:t>亿元；</w:t>
      </w:r>
    </w:p>
    <w:p>
      <w:pPr>
        <w:widowControl/>
        <w:snapToGrid w:val="0"/>
        <w:spacing w:before="100" w:beforeAutospacing="1" w:after="100" w:afterAutospacing="1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3、【助力合作品牌GMV增长超</w:t>
      </w:r>
      <w:r>
        <w:rPr>
          <w:rFonts w:ascii="微软雅黑" w:hAnsi="微软雅黑" w:eastAsia="微软雅黑"/>
        </w:rPr>
        <w:t>10</w:t>
      </w:r>
      <w:r>
        <w:rPr>
          <w:rFonts w:hint="eastAsia" w:ascii="微软雅黑" w:hAnsi="微软雅黑" w:eastAsia="微软雅黑"/>
        </w:rPr>
        <w:t>亿元；</w:t>
      </w:r>
    </w:p>
    <w:p>
      <w:pPr>
        <w:widowControl/>
        <w:snapToGrid w:val="0"/>
        <w:spacing w:before="100" w:beforeAutospacing="1" w:after="100" w:afterAutospacing="1"/>
        <w:jc w:val="left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</w:rPr>
        <w:t>4、【数字化升级】提供品牌与游戏用户的连接，并提供数字化商户后台和赛事后台，提供活动数据效果查询、用户人群画像分析、人群价值长效追踪营销服务，为近3</w:t>
      </w:r>
      <w:r>
        <w:rPr>
          <w:rFonts w:ascii="微软雅黑" w:hAnsi="微软雅黑" w:eastAsia="微软雅黑"/>
        </w:rPr>
        <w:t>000</w:t>
      </w:r>
      <w:r>
        <w:rPr>
          <w:rFonts w:hint="eastAsia" w:ascii="微软雅黑" w:hAnsi="微软雅黑" w:eastAsia="微软雅黑"/>
        </w:rPr>
        <w:t>个品牌提供了营销数据分析，为合作品牌提供营销指导。</w:t>
      </w:r>
    </w:p>
    <w:p>
      <w:pPr>
        <w:widowControl/>
        <w:snapToGrid w:val="0"/>
        <w:spacing w:before="100" w:beforeAutospacing="1" w:after="100" w:afterAutospacing="1"/>
        <w:jc w:val="left"/>
        <w:textAlignment w:val="baseline"/>
        <w:rPr>
          <w:rFonts w:ascii="微软雅黑" w:hAnsi="微软雅黑" w:eastAsia="微软雅黑" w:cs="宋体"/>
          <w:b/>
          <w:color w:val="C79E5B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b/>
          <w:color w:val="C79E5B"/>
          <w:kern w:val="0"/>
          <w:sz w:val="28"/>
          <w:szCs w:val="24"/>
        </w:rPr>
        <w:t>应用范围</w:t>
      </w:r>
    </w:p>
    <w:p>
      <w:pPr>
        <w:pStyle w:val="21"/>
        <w:widowControl/>
        <w:numPr>
          <w:ilvl w:val="0"/>
          <w:numId w:val="2"/>
        </w:numPr>
        <w:snapToGrid w:val="0"/>
        <w:spacing w:before="100" w:beforeAutospacing="1" w:after="100" w:afterAutospacing="1"/>
        <w:ind w:firstLineChars="0"/>
        <w:jc w:val="left"/>
        <w:textAlignment w:val="baseline"/>
        <w:rPr>
          <w:rFonts w:ascii="微软雅黑" w:hAnsi="微软雅黑" w:eastAsia="微软雅黑" w:cs="宋体"/>
          <w:bCs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kern w:val="0"/>
          <w14:textFill>
            <w14:solidFill>
              <w14:schemeClr w14:val="tx1"/>
            </w14:solidFill>
          </w14:textFill>
        </w:rPr>
        <w:t>各行业/品牌与腾讯游戏的跨界营销</w:t>
      </w:r>
    </w:p>
    <w:p>
      <w:pPr>
        <w:pStyle w:val="21"/>
        <w:widowControl/>
        <w:numPr>
          <w:ilvl w:val="0"/>
          <w:numId w:val="2"/>
        </w:numPr>
        <w:snapToGrid w:val="0"/>
        <w:spacing w:before="100" w:beforeAutospacing="1" w:after="100" w:afterAutospacing="1"/>
        <w:ind w:firstLineChars="0"/>
        <w:jc w:val="left"/>
        <w:textAlignment w:val="baseline"/>
        <w:rPr>
          <w:rFonts w:ascii="微软雅黑" w:hAnsi="微软雅黑" w:eastAsia="微软雅黑" w:cs="宋体"/>
          <w:bCs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kern w:val="0"/>
          <w14:textFill>
            <w14:solidFill>
              <w14:schemeClr w14:val="tx1"/>
            </w14:solidFill>
          </w14:textFill>
        </w:rPr>
        <w:t>各行业/品牌与腾讯游戏的赛事营销</w:t>
      </w:r>
    </w:p>
    <w:p>
      <w:pPr>
        <w:widowControl/>
        <w:snapToGrid w:val="0"/>
        <w:spacing w:before="100" w:beforeAutospacing="1" w:after="100" w:afterAutospacing="1"/>
        <w:jc w:val="left"/>
        <w:textAlignment w:val="baseline"/>
        <w:rPr>
          <w:rFonts w:ascii="微软雅黑" w:hAnsi="微软雅黑" w:eastAsia="微软雅黑" w:cs="宋体"/>
          <w:b/>
          <w:color w:val="C79E5B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b/>
          <w:color w:val="C79E5B"/>
          <w:kern w:val="0"/>
          <w:sz w:val="28"/>
          <w:szCs w:val="24"/>
        </w:rPr>
        <w:t>应用实例</w:t>
      </w:r>
    </w:p>
    <w:p>
      <w:pPr>
        <w:snapToGrid w:val="0"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kern w:val="0"/>
          <w:szCs w:val="21"/>
        </w:rPr>
      </w:pPr>
      <w:r>
        <w:rPr>
          <w:rFonts w:hint="eastAsia" w:ascii="微软雅黑" w:hAnsi="微软雅黑" w:eastAsia="微软雅黑"/>
          <w:b/>
          <w:kern w:val="0"/>
          <w:szCs w:val="21"/>
        </w:rPr>
        <w:t>洽洽</w:t>
      </w:r>
      <w:r>
        <w:rPr>
          <w:rFonts w:hint="eastAsia" w:ascii="微软雅黑" w:hAnsi="微软雅黑" w:eastAsia="微软雅黑"/>
          <w:b/>
          <w:kern w:val="0"/>
          <w:szCs w:val="21"/>
          <w:lang w:val="en-US" w:eastAsia="zh-CN"/>
        </w:rPr>
        <w:t>×</w:t>
      </w:r>
      <w:r>
        <w:rPr>
          <w:rFonts w:hint="eastAsia" w:ascii="微软雅黑" w:hAnsi="微软雅黑" w:eastAsia="微软雅黑"/>
          <w:b/>
          <w:kern w:val="0"/>
          <w:szCs w:val="21"/>
        </w:rPr>
        <w:t>王者荣耀：周末洽洽 再来一把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kern w:val="0"/>
          <w:szCs w:val="21"/>
          <w:lang w:val="en-US" w:eastAsia="zh-CN"/>
        </w:rPr>
        <w:t>一、</w:t>
      </w:r>
      <w:r>
        <w:rPr>
          <w:rFonts w:hint="eastAsia" w:ascii="微软雅黑" w:hAnsi="微软雅黑" w:eastAsia="微软雅黑"/>
          <w:b/>
          <w:bCs/>
        </w:rPr>
        <w:t>案例背景</w:t>
      </w:r>
    </w:p>
    <w:p>
      <w:pPr>
        <w:pStyle w:val="21"/>
        <w:snapToGrid w:val="0"/>
        <w:spacing w:before="100" w:beforeAutospacing="1" w:after="100" w:afterAutospacing="1"/>
        <w:ind w:left="420" w:firstLine="0" w:firstLineChars="0"/>
        <w:textAlignment w:val="baseline"/>
        <w:rPr>
          <w:rFonts w:ascii="微软雅黑" w:hAnsi="微软雅黑" w:eastAsia="微软雅黑"/>
          <w:bCs/>
          <w:kern w:val="0"/>
          <w:szCs w:val="21"/>
        </w:rPr>
      </w:pPr>
      <w:r>
        <w:rPr>
          <w:rFonts w:hint="eastAsia" w:ascii="微软雅黑" w:hAnsi="微软雅黑" w:eastAsia="微软雅黑"/>
          <w:bCs/>
          <w:kern w:val="0"/>
          <w:szCs w:val="21"/>
        </w:rPr>
        <w:t>洽洽瓜子已经成为国民零食，2</w:t>
      </w:r>
      <w:r>
        <w:rPr>
          <w:rFonts w:ascii="微软雅黑" w:hAnsi="微软雅黑" w:eastAsia="微软雅黑"/>
          <w:bCs/>
          <w:kern w:val="0"/>
          <w:szCs w:val="21"/>
        </w:rPr>
        <w:t>022</w:t>
      </w:r>
      <w:r>
        <w:rPr>
          <w:rFonts w:hint="eastAsia" w:ascii="微软雅黑" w:hAnsi="微软雅黑" w:eastAsia="微软雅黑"/>
          <w:bCs/>
          <w:kern w:val="0"/>
          <w:szCs w:val="21"/>
        </w:rPr>
        <w:t>年洽洽瓜子希望通过跟国民游戏王者荣耀IP合作，提升在年轻人用户的影响力，从而进一步实现销售的提升。</w:t>
      </w:r>
    </w:p>
    <w:p>
      <w:pPr>
        <w:pStyle w:val="21"/>
        <w:snapToGrid w:val="0"/>
        <w:spacing w:before="100" w:beforeAutospacing="1" w:after="100" w:afterAutospacing="1"/>
        <w:ind w:left="420" w:firstLine="0" w:firstLineChars="0"/>
        <w:textAlignment w:val="baseline"/>
        <w:rPr>
          <w:rFonts w:ascii="微软雅黑" w:hAnsi="微软雅黑" w:eastAsia="微软雅黑"/>
          <w:bCs/>
          <w:kern w:val="0"/>
          <w:szCs w:val="21"/>
        </w:rPr>
      </w:pPr>
      <w:r>
        <w:rPr>
          <w:rFonts w:hint="eastAsia" w:ascii="微软雅黑" w:hAnsi="微软雅黑" w:eastAsia="微软雅黑"/>
          <w:bCs/>
          <w:kern w:val="0"/>
          <w:szCs w:val="21"/>
        </w:rPr>
        <w:t>洽洽瓜子的用户，都是基于电商和零售渠道的用户，很难沉淀到洽洽自有品牌的私域阵地上，牵手王者荣耀，也是希望沉淀一部分年轻人用户在洽洽的私域阵地内，为后期的运营转化做蓄水。</w:t>
      </w:r>
    </w:p>
    <w:p>
      <w:pPr>
        <w:pStyle w:val="21"/>
        <w:numPr>
          <w:numId w:val="0"/>
        </w:numPr>
        <w:snapToGrid w:val="0"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  <w:lang w:val="en-US" w:eastAsia="zh-CN"/>
        </w:rPr>
        <w:t>二、</w:t>
      </w:r>
      <w:r>
        <w:rPr>
          <w:rFonts w:hint="eastAsia" w:ascii="微软雅黑" w:hAnsi="微软雅黑" w:eastAsia="微软雅黑"/>
          <w:b/>
          <w:bCs/>
        </w:rPr>
        <w:t>营销目标</w:t>
      </w:r>
    </w:p>
    <w:p>
      <w:pPr>
        <w:pStyle w:val="21"/>
        <w:snapToGrid w:val="0"/>
        <w:spacing w:before="100" w:beforeAutospacing="1" w:after="100" w:afterAutospacing="1"/>
        <w:ind w:left="420" w:firstLine="0" w:firstLineChars="0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进一步实现洽洽的品牌年轻化；</w:t>
      </w:r>
    </w:p>
    <w:p>
      <w:pPr>
        <w:pStyle w:val="21"/>
        <w:snapToGrid w:val="0"/>
        <w:spacing w:before="100" w:beforeAutospacing="1" w:after="100" w:afterAutospacing="1"/>
        <w:ind w:left="420" w:firstLine="0" w:firstLineChars="0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提升洽洽的品牌知名度；</w:t>
      </w:r>
    </w:p>
    <w:p>
      <w:pPr>
        <w:pStyle w:val="21"/>
        <w:snapToGrid w:val="0"/>
        <w:spacing w:before="100" w:beforeAutospacing="1" w:after="100" w:afterAutospacing="1"/>
        <w:ind w:left="420" w:firstLine="0" w:firstLineChars="0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进一步实现销售额的提升。</w:t>
      </w:r>
    </w:p>
    <w:p>
      <w:pPr>
        <w:pStyle w:val="21"/>
        <w:numPr>
          <w:numId w:val="0"/>
        </w:numPr>
        <w:snapToGrid w:val="0"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  <w:lang w:val="en-US" w:eastAsia="zh-CN"/>
        </w:rPr>
        <w:t>三、</w:t>
      </w:r>
      <w:r>
        <w:rPr>
          <w:rFonts w:hint="eastAsia" w:ascii="微软雅黑" w:hAnsi="微软雅黑" w:eastAsia="微软雅黑"/>
          <w:b/>
          <w:bCs/>
        </w:rPr>
        <w:t>营销策略</w:t>
      </w:r>
    </w:p>
    <w:p>
      <w:pPr>
        <w:pStyle w:val="21"/>
        <w:widowControl/>
        <w:snapToGrid w:val="0"/>
        <w:spacing w:before="100" w:beforeAutospacing="1" w:after="100" w:afterAutospacing="1"/>
        <w:ind w:left="420" w:firstLine="0" w:firstLineChars="0"/>
        <w:jc w:val="left"/>
        <w:rPr>
          <w:rFonts w:ascii="微软雅黑" w:hAnsi="微软雅黑" w:eastAsia="微软雅黑"/>
          <w:bCs/>
          <w:kern w:val="0"/>
          <w:szCs w:val="21"/>
        </w:rPr>
      </w:pPr>
      <w:r>
        <w:rPr>
          <w:rFonts w:ascii="微软雅黑" w:hAnsi="微软雅黑" w:eastAsia="微软雅黑"/>
          <w:b/>
          <w:kern w:val="0"/>
          <w:szCs w:val="21"/>
        </w:rPr>
        <w:t>抢占传播爆点</w:t>
      </w:r>
      <w:r>
        <w:rPr>
          <w:rFonts w:ascii="微软雅黑" w:hAnsi="微软雅黑" w:eastAsia="微软雅黑"/>
          <w:bCs/>
          <w:kern w:val="0"/>
          <w:szCs w:val="21"/>
        </w:rPr>
        <w:t>：</w:t>
      </w:r>
      <w:r>
        <w:rPr>
          <w:rFonts w:hint="eastAsia" w:ascii="微软雅黑" w:hAnsi="微软雅黑" w:eastAsia="微软雅黑"/>
          <w:bCs/>
          <w:kern w:val="0"/>
          <w:szCs w:val="21"/>
        </w:rPr>
        <w:t>洽洽连接王者荣耀五大英雄，推出定制款瓜子，吸引Z时代用户关注。借势洽洽庞大的销售渠道触达用户：电商渠道、线下实体零售渠道，触达年轻用户，形成构面。</w:t>
      </w:r>
    </w:p>
    <w:p>
      <w:pPr>
        <w:pStyle w:val="21"/>
        <w:snapToGrid w:val="0"/>
        <w:spacing w:before="100" w:beforeAutospacing="1" w:after="100" w:afterAutospacing="1"/>
        <w:ind w:left="420" w:firstLine="0" w:firstLineChars="0"/>
        <w:textAlignment w:val="baseline"/>
        <w:rPr>
          <w:rFonts w:ascii="微软雅黑" w:hAnsi="微软雅黑" w:eastAsia="微软雅黑"/>
          <w:bCs/>
          <w:kern w:val="0"/>
          <w:szCs w:val="21"/>
        </w:rPr>
      </w:pPr>
      <w:r>
        <w:rPr>
          <w:rFonts w:hint="eastAsia" w:ascii="微软雅黑" w:hAnsi="微软雅黑" w:eastAsia="微软雅黑"/>
          <w:b/>
          <w:kern w:val="0"/>
          <w:szCs w:val="21"/>
        </w:rPr>
        <w:t>利用品牌特点将线下用户转移到品牌私域</w:t>
      </w:r>
      <w:r>
        <w:rPr>
          <w:rFonts w:hint="eastAsia" w:ascii="微软雅黑" w:hAnsi="微软雅黑" w:eastAsia="微软雅黑"/>
          <w:bCs/>
          <w:kern w:val="0"/>
          <w:szCs w:val="21"/>
        </w:rPr>
        <w:t>，</w:t>
      </w:r>
      <w:r>
        <w:rPr>
          <w:rFonts w:hint="eastAsia" w:ascii="微软雅黑" w:hAnsi="微软雅黑" w:eastAsia="微软雅黑"/>
          <w:b/>
          <w:kern w:val="0"/>
          <w:szCs w:val="21"/>
        </w:rPr>
        <w:t>实现转化</w:t>
      </w:r>
      <w:r>
        <w:rPr>
          <w:rFonts w:hint="eastAsia" w:ascii="微软雅黑" w:hAnsi="微软雅黑" w:eastAsia="微软雅黑"/>
          <w:bCs/>
          <w:kern w:val="0"/>
          <w:szCs w:val="21"/>
        </w:rPr>
        <w:t>：基于洽洽产品包装中二维码，定制“赢王者全英雄大奖”活动，将购买瓜子的用户通过活动沉淀至洽洽小程序。</w:t>
      </w:r>
    </w:p>
    <w:p>
      <w:pPr>
        <w:pStyle w:val="21"/>
        <w:numPr>
          <w:numId w:val="0"/>
        </w:numPr>
        <w:snapToGrid w:val="0"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  <w:lang w:val="en-US" w:eastAsia="zh-CN"/>
        </w:rPr>
        <w:t>四、</w:t>
      </w:r>
      <w:r>
        <w:rPr>
          <w:rFonts w:hint="eastAsia" w:ascii="微软雅黑" w:hAnsi="微软雅黑" w:eastAsia="微软雅黑"/>
          <w:b/>
          <w:bCs/>
        </w:rPr>
        <w:t>执行过程</w:t>
      </w:r>
    </w:p>
    <w:p>
      <w:pPr>
        <w:widowControl/>
        <w:snapToGrid w:val="0"/>
        <w:spacing w:before="100" w:beforeAutospacing="1" w:after="100" w:afterAutospacing="1"/>
        <w:jc w:val="left"/>
        <w:rPr>
          <w:rFonts w:ascii="微软雅黑" w:hAnsi="微软雅黑" w:eastAsia="微软雅黑"/>
          <w:bCs/>
          <w:kern w:val="0"/>
          <w:szCs w:val="21"/>
        </w:rPr>
      </w:pPr>
      <w:r>
        <w:rPr>
          <w:rFonts w:hint="eastAsia" w:ascii="微软雅黑" w:hAnsi="微软雅黑" w:eastAsia="微软雅黑"/>
          <w:bCs/>
          <w:kern w:val="0"/>
          <w:szCs w:val="21"/>
        </w:rPr>
        <w:t>1、洽洽五大风味瓜子</w:t>
      </w:r>
      <w:r>
        <w:rPr>
          <w:rFonts w:hint="eastAsia" w:ascii="微软雅黑" w:hAnsi="微软雅黑" w:eastAsia="微软雅黑"/>
          <w:bCs/>
          <w:kern w:val="0"/>
          <w:szCs w:val="21"/>
          <w:lang w:val="en-US" w:eastAsia="zh-CN"/>
        </w:rPr>
        <w:t>×</w:t>
      </w:r>
      <w:r>
        <w:rPr>
          <w:rFonts w:hint="eastAsia" w:ascii="微软雅黑" w:hAnsi="微软雅黑" w:eastAsia="微软雅黑"/>
          <w:bCs/>
          <w:kern w:val="0"/>
          <w:szCs w:val="21"/>
        </w:rPr>
        <w:t>王者荣耀的五大英雄梦幻联动</w:t>
      </w:r>
    </w:p>
    <w:p>
      <w:pPr>
        <w:pStyle w:val="21"/>
        <w:snapToGrid w:val="0"/>
        <w:spacing w:before="100" w:beforeAutospacing="1" w:after="100" w:afterAutospacing="1"/>
        <w:ind w:left="420" w:firstLine="0" w:firstLineChars="0"/>
        <w:textAlignment w:val="baseline"/>
        <w:rPr>
          <w:rFonts w:ascii="微软雅黑" w:hAnsi="微软雅黑" w:eastAsia="微软雅黑"/>
          <w:b/>
          <w:bCs/>
        </w:rPr>
      </w:pPr>
      <w:r>
        <w:drawing>
          <wp:inline distT="0" distB="0" distL="0" distR="0">
            <wp:extent cx="5274310" cy="295021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before="100" w:beforeAutospacing="1" w:after="100" w:afterAutospacing="1"/>
        <w:jc w:val="left"/>
        <w:rPr>
          <w:rFonts w:ascii="微软雅黑" w:hAnsi="微软雅黑" w:eastAsia="微软雅黑"/>
          <w:bCs/>
          <w:kern w:val="0"/>
          <w:szCs w:val="21"/>
        </w:rPr>
      </w:pPr>
      <w:r>
        <w:rPr>
          <w:rFonts w:hint="eastAsia" w:ascii="微软雅黑" w:hAnsi="微软雅黑" w:eastAsia="微软雅黑"/>
          <w:bCs/>
          <w:kern w:val="0"/>
          <w:szCs w:val="21"/>
        </w:rPr>
        <w:t>2、联合京东：京东超级IP日正式启动与人气游戏《王者荣耀》的跨界合作</w:t>
      </w:r>
    </w:p>
    <w:p>
      <w:pPr>
        <w:snapToGrid w:val="0"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</w:rPr>
        <w:t>洽洽品牌在京东全站销量同比增长100%，活动期间爆卖瓜子100,000多份，获得京东瓜子销售No.1的战绩</w:t>
      </w:r>
      <w:r>
        <w:rPr>
          <w:rFonts w:hint="eastAsia" w:ascii="微软雅黑" w:hAnsi="微软雅黑" w:eastAsia="微软雅黑"/>
          <w:lang w:eastAsia="zh-CN"/>
        </w:rPr>
        <w:t>。</w:t>
      </w:r>
    </w:p>
    <w:p>
      <w:pPr>
        <w:widowControl/>
        <w:snapToGrid w:val="0"/>
        <w:spacing w:before="100" w:beforeAutospacing="1" w:after="100" w:afterAutospacing="1"/>
        <w:jc w:val="left"/>
        <w:rPr>
          <w:rFonts w:ascii="微软雅黑" w:hAnsi="微软雅黑" w:eastAsia="微软雅黑"/>
          <w:bCs/>
          <w:kern w:val="0"/>
          <w:szCs w:val="21"/>
        </w:rPr>
      </w:pPr>
      <w:r>
        <w:rPr>
          <w:rFonts w:hint="eastAsia" w:ascii="微软雅黑" w:hAnsi="微软雅黑" w:eastAsia="微软雅黑"/>
          <w:bCs/>
          <w:kern w:val="0"/>
          <w:szCs w:val="21"/>
        </w:rPr>
        <w:t>3、基于洽洽产品包装中二维码，定制“赢王者全英雄大奖”活动，将购买瓜子的用户通过活动沉淀至洽洽小程序</w:t>
      </w:r>
    </w:p>
    <w:p>
      <w:pPr>
        <w:pStyle w:val="21"/>
        <w:snapToGrid w:val="0"/>
        <w:spacing w:before="100" w:beforeAutospacing="1" w:after="100" w:afterAutospacing="1"/>
        <w:ind w:left="360" w:firstLine="0" w:firstLineChars="0"/>
        <w:textAlignment w:val="baseline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5749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numId w:val="0"/>
        </w:numPr>
        <w:snapToGrid w:val="0"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  <w:lang w:val="en-US" w:eastAsia="zh-CN"/>
        </w:rPr>
        <w:t>五、</w:t>
      </w:r>
      <w:r>
        <w:rPr>
          <w:rFonts w:hint="eastAsia" w:ascii="微软雅黑" w:hAnsi="微软雅黑" w:eastAsia="微软雅黑"/>
          <w:b/>
          <w:bCs/>
        </w:rPr>
        <w:t>营销效果</w:t>
      </w:r>
    </w:p>
    <w:p>
      <w:pPr>
        <w:pStyle w:val="21"/>
        <w:widowControl/>
        <w:numPr>
          <w:ilvl w:val="0"/>
          <w:numId w:val="3"/>
        </w:numPr>
        <w:snapToGrid w:val="0"/>
        <w:spacing w:before="100" w:beforeAutospacing="1" w:after="100" w:afterAutospacing="1"/>
        <w:ind w:firstLineChars="0"/>
        <w:rPr>
          <w:rFonts w:ascii="微软雅黑" w:hAnsi="微软雅黑" w:eastAsia="微软雅黑"/>
          <w:bCs/>
          <w:kern w:val="0"/>
          <w:szCs w:val="21"/>
        </w:rPr>
      </w:pPr>
      <w:r>
        <w:rPr>
          <w:rFonts w:hint="eastAsia" w:ascii="微软雅黑" w:hAnsi="微软雅黑" w:eastAsia="微软雅黑"/>
          <w:bCs/>
          <w:kern w:val="0"/>
          <w:szCs w:val="21"/>
        </w:rPr>
        <w:t>洽洽</w:t>
      </w:r>
      <w:r>
        <w:rPr>
          <w:rFonts w:hint="eastAsia" w:ascii="微软雅黑" w:hAnsi="微软雅黑" w:eastAsia="微软雅黑"/>
          <w:bCs/>
          <w:kern w:val="0"/>
          <w:szCs w:val="21"/>
          <w:lang w:val="en-US" w:eastAsia="zh-CN"/>
        </w:rPr>
        <w:t>×</w:t>
      </w:r>
      <w:bookmarkStart w:id="0" w:name="_GoBack"/>
      <w:bookmarkEnd w:id="0"/>
      <w:r>
        <w:rPr>
          <w:rFonts w:hint="eastAsia" w:ascii="微软雅黑" w:hAnsi="微软雅黑" w:eastAsia="微软雅黑"/>
          <w:bCs/>
          <w:kern w:val="0"/>
          <w:szCs w:val="21"/>
        </w:rPr>
        <w:t>王者荣耀：周末洽洽 再来一把，活动曝光1556万人次；</w:t>
      </w:r>
    </w:p>
    <w:p>
      <w:pPr>
        <w:pStyle w:val="21"/>
        <w:widowControl/>
        <w:numPr>
          <w:ilvl w:val="0"/>
          <w:numId w:val="3"/>
        </w:numPr>
        <w:snapToGrid w:val="0"/>
        <w:spacing w:before="100" w:beforeAutospacing="1" w:after="100" w:afterAutospacing="1"/>
        <w:ind w:firstLineChars="0"/>
        <w:rPr>
          <w:rFonts w:ascii="微软雅黑" w:hAnsi="微软雅黑" w:eastAsia="微软雅黑"/>
          <w:bCs/>
        </w:rPr>
      </w:pPr>
      <w:r>
        <w:rPr>
          <w:rFonts w:hint="eastAsia" w:ascii="微软雅黑" w:hAnsi="微软雅黑" w:eastAsia="微软雅黑"/>
          <w:bCs/>
        </w:rPr>
        <w:t>通过包装袋二维码回流洽洽小程序8.9万/天；</w:t>
      </w:r>
    </w:p>
    <w:p>
      <w:pPr>
        <w:pStyle w:val="21"/>
        <w:widowControl/>
        <w:numPr>
          <w:ilvl w:val="0"/>
          <w:numId w:val="3"/>
        </w:numPr>
        <w:snapToGrid w:val="0"/>
        <w:spacing w:before="100" w:beforeAutospacing="1" w:after="100" w:afterAutospacing="1"/>
        <w:ind w:firstLineChars="0"/>
        <w:rPr>
          <w:rFonts w:ascii="微软雅黑" w:hAnsi="微软雅黑" w:eastAsia="微软雅黑"/>
          <w:bCs/>
        </w:rPr>
      </w:pPr>
      <w:r>
        <w:rPr>
          <w:rFonts w:hint="eastAsia" w:ascii="微软雅黑" w:hAnsi="微软雅黑" w:eastAsia="微软雅黑"/>
          <w:bCs/>
        </w:rPr>
        <w:t>吸引新会员人员共计573万；</w:t>
      </w:r>
    </w:p>
    <w:p>
      <w:pPr>
        <w:pStyle w:val="21"/>
        <w:widowControl/>
        <w:numPr>
          <w:ilvl w:val="0"/>
          <w:numId w:val="3"/>
        </w:numPr>
        <w:snapToGrid w:val="0"/>
        <w:spacing w:before="100" w:beforeAutospacing="1" w:after="100" w:afterAutospacing="1"/>
        <w:ind w:firstLineChars="0"/>
        <w:rPr>
          <w:rFonts w:ascii="微软雅黑" w:hAnsi="微软雅黑" w:eastAsia="微软雅黑"/>
          <w:bCs/>
        </w:rPr>
      </w:pPr>
      <w:r>
        <w:rPr>
          <w:rFonts w:hint="eastAsia" w:ascii="微软雅黑" w:hAnsi="微软雅黑" w:eastAsia="微软雅黑"/>
          <w:bCs/>
        </w:rPr>
        <w:t>沉淀至洽洽企微社群人数超4万；</w:t>
      </w:r>
    </w:p>
    <w:p>
      <w:pPr>
        <w:pStyle w:val="21"/>
        <w:widowControl/>
        <w:numPr>
          <w:ilvl w:val="0"/>
          <w:numId w:val="3"/>
        </w:numPr>
        <w:snapToGrid w:val="0"/>
        <w:spacing w:before="100" w:beforeAutospacing="1" w:after="100" w:afterAutospacing="1"/>
        <w:ind w:firstLineChars="0"/>
        <w:rPr>
          <w:rFonts w:ascii="微软雅黑" w:hAnsi="微软雅黑" w:eastAsia="微软雅黑"/>
          <w:bCs/>
        </w:rPr>
      </w:pPr>
      <w:r>
        <w:rPr>
          <w:rFonts w:hint="eastAsia" w:ascii="微软雅黑" w:hAnsi="微软雅黑" w:eastAsia="微软雅黑"/>
          <w:bCs/>
        </w:rPr>
        <w:t>私域用户累计转化GMV约1.3亿；</w:t>
      </w:r>
    </w:p>
    <w:p>
      <w:pPr>
        <w:pStyle w:val="21"/>
        <w:widowControl/>
        <w:numPr>
          <w:ilvl w:val="0"/>
          <w:numId w:val="3"/>
        </w:numPr>
        <w:snapToGrid w:val="0"/>
        <w:spacing w:before="100" w:beforeAutospacing="1" w:after="100" w:afterAutospacing="1"/>
        <w:ind w:firstLineChars="0"/>
        <w:rPr>
          <w:rFonts w:ascii="微软雅黑" w:hAnsi="微软雅黑" w:eastAsia="微软雅黑"/>
          <w:bCs/>
        </w:rPr>
      </w:pPr>
      <w:r>
        <w:rPr>
          <w:rFonts w:hint="eastAsia" w:ascii="微软雅黑" w:hAnsi="微软雅黑" w:eastAsia="微软雅黑"/>
          <w:bCs/>
        </w:rPr>
        <w:t>洽洽品牌在京东全站销量同比增长100%，活动期间爆卖瓜子100,000多份，获得京东瓜子销售No.1的战绩。</w:t>
      </w:r>
    </w:p>
    <w:p>
      <w:pPr>
        <w:pStyle w:val="21"/>
        <w:snapToGrid w:val="0"/>
        <w:spacing w:before="100" w:beforeAutospacing="1" w:after="100" w:afterAutospacing="1"/>
        <w:ind w:left="360" w:firstLine="0" w:firstLineChars="0"/>
        <w:textAlignment w:val="baseline"/>
        <w:rPr>
          <w:rFonts w:ascii="微软雅黑" w:hAnsi="微软雅黑" w:eastAsia="微软雅黑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92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4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7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701939"/>
    <w:multiLevelType w:val="multilevel"/>
    <w:tmpl w:val="20701939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6A34ED3"/>
    <w:multiLevelType w:val="multilevel"/>
    <w:tmpl w:val="36A34ED3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A0A57A6"/>
    <w:multiLevelType w:val="multilevel"/>
    <w:tmpl w:val="6A0A57A6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4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E5ZTc2N2FiNzYxOGE0NzQ2MWNmMjg3N2EyZmIzMDEifQ=="/>
  </w:docVars>
  <w:rsids>
    <w:rsidRoot w:val="00172A27"/>
    <w:rsid w:val="0000069D"/>
    <w:rsid w:val="0002409C"/>
    <w:rsid w:val="00043C0C"/>
    <w:rsid w:val="00044F04"/>
    <w:rsid w:val="000532E1"/>
    <w:rsid w:val="00056791"/>
    <w:rsid w:val="0006079A"/>
    <w:rsid w:val="000610A9"/>
    <w:rsid w:val="000631F9"/>
    <w:rsid w:val="00071CE5"/>
    <w:rsid w:val="00077EC5"/>
    <w:rsid w:val="0008523E"/>
    <w:rsid w:val="000915E6"/>
    <w:rsid w:val="00097129"/>
    <w:rsid w:val="000979A5"/>
    <w:rsid w:val="000B0AC3"/>
    <w:rsid w:val="000D05FE"/>
    <w:rsid w:val="000E18A5"/>
    <w:rsid w:val="000E2A45"/>
    <w:rsid w:val="000E4A8B"/>
    <w:rsid w:val="000F5168"/>
    <w:rsid w:val="000F63B2"/>
    <w:rsid w:val="00114DD5"/>
    <w:rsid w:val="001265C9"/>
    <w:rsid w:val="00131A61"/>
    <w:rsid w:val="00144C4B"/>
    <w:rsid w:val="00146A94"/>
    <w:rsid w:val="001540DA"/>
    <w:rsid w:val="001562B1"/>
    <w:rsid w:val="0016260F"/>
    <w:rsid w:val="001628EA"/>
    <w:rsid w:val="00171FC8"/>
    <w:rsid w:val="00172A27"/>
    <w:rsid w:val="001731D8"/>
    <w:rsid w:val="00176817"/>
    <w:rsid w:val="00180451"/>
    <w:rsid w:val="00180E4E"/>
    <w:rsid w:val="00183D4F"/>
    <w:rsid w:val="00184006"/>
    <w:rsid w:val="0018667E"/>
    <w:rsid w:val="00192A5B"/>
    <w:rsid w:val="00192D54"/>
    <w:rsid w:val="00196785"/>
    <w:rsid w:val="001A500D"/>
    <w:rsid w:val="001C4334"/>
    <w:rsid w:val="001D11F3"/>
    <w:rsid w:val="001D1943"/>
    <w:rsid w:val="001D2E2D"/>
    <w:rsid w:val="001E38F1"/>
    <w:rsid w:val="001E6133"/>
    <w:rsid w:val="001F17F1"/>
    <w:rsid w:val="001F36FC"/>
    <w:rsid w:val="001F4270"/>
    <w:rsid w:val="0020719F"/>
    <w:rsid w:val="002144FA"/>
    <w:rsid w:val="00215F48"/>
    <w:rsid w:val="00220884"/>
    <w:rsid w:val="0022117C"/>
    <w:rsid w:val="00223EDE"/>
    <w:rsid w:val="00232662"/>
    <w:rsid w:val="00242F41"/>
    <w:rsid w:val="00250580"/>
    <w:rsid w:val="00252186"/>
    <w:rsid w:val="00255B1F"/>
    <w:rsid w:val="002579F4"/>
    <w:rsid w:val="002707E7"/>
    <w:rsid w:val="00270EF0"/>
    <w:rsid w:val="002712AF"/>
    <w:rsid w:val="00274F8A"/>
    <w:rsid w:val="00290073"/>
    <w:rsid w:val="00290500"/>
    <w:rsid w:val="002A004E"/>
    <w:rsid w:val="002A1429"/>
    <w:rsid w:val="002B0CDA"/>
    <w:rsid w:val="002C6B4F"/>
    <w:rsid w:val="002D1C76"/>
    <w:rsid w:val="002E436F"/>
    <w:rsid w:val="002E5914"/>
    <w:rsid w:val="002F2AF3"/>
    <w:rsid w:val="002F7E7A"/>
    <w:rsid w:val="003056B8"/>
    <w:rsid w:val="00311DCD"/>
    <w:rsid w:val="00317BD4"/>
    <w:rsid w:val="00320B24"/>
    <w:rsid w:val="00334623"/>
    <w:rsid w:val="00346C2B"/>
    <w:rsid w:val="00361FEC"/>
    <w:rsid w:val="00362043"/>
    <w:rsid w:val="00371D9E"/>
    <w:rsid w:val="00371F8B"/>
    <w:rsid w:val="003818A5"/>
    <w:rsid w:val="00386E93"/>
    <w:rsid w:val="003A2FD7"/>
    <w:rsid w:val="003A3097"/>
    <w:rsid w:val="003A3802"/>
    <w:rsid w:val="003C413A"/>
    <w:rsid w:val="003C78A2"/>
    <w:rsid w:val="003E1D93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438F8"/>
    <w:rsid w:val="00443C7A"/>
    <w:rsid w:val="004452BA"/>
    <w:rsid w:val="00451221"/>
    <w:rsid w:val="004555F7"/>
    <w:rsid w:val="00462CFD"/>
    <w:rsid w:val="004636A2"/>
    <w:rsid w:val="00470C6C"/>
    <w:rsid w:val="0048122B"/>
    <w:rsid w:val="00484916"/>
    <w:rsid w:val="004861A7"/>
    <w:rsid w:val="0048758B"/>
    <w:rsid w:val="004A4904"/>
    <w:rsid w:val="004C539E"/>
    <w:rsid w:val="004D3EF9"/>
    <w:rsid w:val="004D53A9"/>
    <w:rsid w:val="004E459E"/>
    <w:rsid w:val="004E704D"/>
    <w:rsid w:val="004F1399"/>
    <w:rsid w:val="004F4182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54EB4"/>
    <w:rsid w:val="00557856"/>
    <w:rsid w:val="0056203F"/>
    <w:rsid w:val="005652CE"/>
    <w:rsid w:val="00567477"/>
    <w:rsid w:val="0057565D"/>
    <w:rsid w:val="00575AF8"/>
    <w:rsid w:val="0058033D"/>
    <w:rsid w:val="00582F7D"/>
    <w:rsid w:val="005A539D"/>
    <w:rsid w:val="005A56AE"/>
    <w:rsid w:val="005A697D"/>
    <w:rsid w:val="005B2564"/>
    <w:rsid w:val="005B6389"/>
    <w:rsid w:val="005C011B"/>
    <w:rsid w:val="005D5D19"/>
    <w:rsid w:val="005D614B"/>
    <w:rsid w:val="005D77D7"/>
    <w:rsid w:val="005E14EF"/>
    <w:rsid w:val="005E4E84"/>
    <w:rsid w:val="006126FE"/>
    <w:rsid w:val="00613CE9"/>
    <w:rsid w:val="00644994"/>
    <w:rsid w:val="00650F34"/>
    <w:rsid w:val="0065606B"/>
    <w:rsid w:val="0065759C"/>
    <w:rsid w:val="00661A8D"/>
    <w:rsid w:val="00664649"/>
    <w:rsid w:val="00664D44"/>
    <w:rsid w:val="0066595A"/>
    <w:rsid w:val="006707FE"/>
    <w:rsid w:val="00671B36"/>
    <w:rsid w:val="00690580"/>
    <w:rsid w:val="00693C3F"/>
    <w:rsid w:val="006955F5"/>
    <w:rsid w:val="0069620D"/>
    <w:rsid w:val="006A054F"/>
    <w:rsid w:val="006A24F1"/>
    <w:rsid w:val="006C1563"/>
    <w:rsid w:val="006C1733"/>
    <w:rsid w:val="006D5766"/>
    <w:rsid w:val="006E53B7"/>
    <w:rsid w:val="006E7052"/>
    <w:rsid w:val="006F421E"/>
    <w:rsid w:val="006F4DA1"/>
    <w:rsid w:val="006F662D"/>
    <w:rsid w:val="007040B0"/>
    <w:rsid w:val="00710B89"/>
    <w:rsid w:val="00715AD3"/>
    <w:rsid w:val="00716B53"/>
    <w:rsid w:val="0072102A"/>
    <w:rsid w:val="007210D1"/>
    <w:rsid w:val="0072725D"/>
    <w:rsid w:val="00727D89"/>
    <w:rsid w:val="0073004D"/>
    <w:rsid w:val="0073428A"/>
    <w:rsid w:val="007365E4"/>
    <w:rsid w:val="00744D17"/>
    <w:rsid w:val="00753753"/>
    <w:rsid w:val="007538EE"/>
    <w:rsid w:val="00787A78"/>
    <w:rsid w:val="00795109"/>
    <w:rsid w:val="007A0451"/>
    <w:rsid w:val="007B2D27"/>
    <w:rsid w:val="007C0828"/>
    <w:rsid w:val="007C3F70"/>
    <w:rsid w:val="007C4C7A"/>
    <w:rsid w:val="007D5451"/>
    <w:rsid w:val="007D76B6"/>
    <w:rsid w:val="007E0284"/>
    <w:rsid w:val="007F6422"/>
    <w:rsid w:val="00813515"/>
    <w:rsid w:val="008159A4"/>
    <w:rsid w:val="00820C09"/>
    <w:rsid w:val="00822325"/>
    <w:rsid w:val="00825032"/>
    <w:rsid w:val="0085738D"/>
    <w:rsid w:val="008612D4"/>
    <w:rsid w:val="008674D7"/>
    <w:rsid w:val="00880022"/>
    <w:rsid w:val="00881A94"/>
    <w:rsid w:val="00886A9A"/>
    <w:rsid w:val="00891CAC"/>
    <w:rsid w:val="008A1E2D"/>
    <w:rsid w:val="008C2693"/>
    <w:rsid w:val="008C4CCE"/>
    <w:rsid w:val="008F2CAF"/>
    <w:rsid w:val="00902EA3"/>
    <w:rsid w:val="0090431A"/>
    <w:rsid w:val="009076EA"/>
    <w:rsid w:val="009112E8"/>
    <w:rsid w:val="00911F7D"/>
    <w:rsid w:val="00913B2E"/>
    <w:rsid w:val="00915DD8"/>
    <w:rsid w:val="009205FC"/>
    <w:rsid w:val="00932225"/>
    <w:rsid w:val="00932353"/>
    <w:rsid w:val="00962DEF"/>
    <w:rsid w:val="0097433A"/>
    <w:rsid w:val="0098226A"/>
    <w:rsid w:val="009823A9"/>
    <w:rsid w:val="00983853"/>
    <w:rsid w:val="009849FB"/>
    <w:rsid w:val="00993068"/>
    <w:rsid w:val="009A7E78"/>
    <w:rsid w:val="009B0289"/>
    <w:rsid w:val="009B0E2C"/>
    <w:rsid w:val="009C0132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450F"/>
    <w:rsid w:val="00A65856"/>
    <w:rsid w:val="00A71293"/>
    <w:rsid w:val="00A71CB7"/>
    <w:rsid w:val="00A72FFF"/>
    <w:rsid w:val="00A73B4E"/>
    <w:rsid w:val="00A74660"/>
    <w:rsid w:val="00A76411"/>
    <w:rsid w:val="00A84067"/>
    <w:rsid w:val="00A849B8"/>
    <w:rsid w:val="00A86FCA"/>
    <w:rsid w:val="00AB5A65"/>
    <w:rsid w:val="00AC6E5A"/>
    <w:rsid w:val="00AD1AA5"/>
    <w:rsid w:val="00AD1E2C"/>
    <w:rsid w:val="00AE7F81"/>
    <w:rsid w:val="00B05B17"/>
    <w:rsid w:val="00B06504"/>
    <w:rsid w:val="00B0668E"/>
    <w:rsid w:val="00B35B50"/>
    <w:rsid w:val="00B36BD0"/>
    <w:rsid w:val="00B413D5"/>
    <w:rsid w:val="00B42C46"/>
    <w:rsid w:val="00B54EBC"/>
    <w:rsid w:val="00B67945"/>
    <w:rsid w:val="00B71E01"/>
    <w:rsid w:val="00B7261E"/>
    <w:rsid w:val="00B774FE"/>
    <w:rsid w:val="00B84F34"/>
    <w:rsid w:val="00B925C8"/>
    <w:rsid w:val="00B93BD6"/>
    <w:rsid w:val="00B93E3B"/>
    <w:rsid w:val="00BA0329"/>
    <w:rsid w:val="00BB0E07"/>
    <w:rsid w:val="00BB1A99"/>
    <w:rsid w:val="00BC1804"/>
    <w:rsid w:val="00BD741B"/>
    <w:rsid w:val="00BD7FD3"/>
    <w:rsid w:val="00BF13CA"/>
    <w:rsid w:val="00BF6726"/>
    <w:rsid w:val="00C00168"/>
    <w:rsid w:val="00C04E7B"/>
    <w:rsid w:val="00C078EC"/>
    <w:rsid w:val="00C11650"/>
    <w:rsid w:val="00C171FB"/>
    <w:rsid w:val="00C209FE"/>
    <w:rsid w:val="00C27CF2"/>
    <w:rsid w:val="00C40E03"/>
    <w:rsid w:val="00C5015C"/>
    <w:rsid w:val="00C516C8"/>
    <w:rsid w:val="00C64FC2"/>
    <w:rsid w:val="00C653FB"/>
    <w:rsid w:val="00C657FA"/>
    <w:rsid w:val="00C73B42"/>
    <w:rsid w:val="00C86719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5AC"/>
    <w:rsid w:val="00CF4CF0"/>
    <w:rsid w:val="00D13BC3"/>
    <w:rsid w:val="00D14F03"/>
    <w:rsid w:val="00D409BB"/>
    <w:rsid w:val="00D5007A"/>
    <w:rsid w:val="00D52DF6"/>
    <w:rsid w:val="00D5598B"/>
    <w:rsid w:val="00D56BD0"/>
    <w:rsid w:val="00D63679"/>
    <w:rsid w:val="00D6725D"/>
    <w:rsid w:val="00D71A2E"/>
    <w:rsid w:val="00D731FC"/>
    <w:rsid w:val="00D80973"/>
    <w:rsid w:val="00DA4C96"/>
    <w:rsid w:val="00DB3708"/>
    <w:rsid w:val="00DC397E"/>
    <w:rsid w:val="00DC3EBF"/>
    <w:rsid w:val="00DC3FCF"/>
    <w:rsid w:val="00E004F9"/>
    <w:rsid w:val="00E0213B"/>
    <w:rsid w:val="00E10DBE"/>
    <w:rsid w:val="00E14A7D"/>
    <w:rsid w:val="00E16890"/>
    <w:rsid w:val="00E23547"/>
    <w:rsid w:val="00E336C0"/>
    <w:rsid w:val="00E419C5"/>
    <w:rsid w:val="00E457D7"/>
    <w:rsid w:val="00E46527"/>
    <w:rsid w:val="00E478DB"/>
    <w:rsid w:val="00E52687"/>
    <w:rsid w:val="00E60CF7"/>
    <w:rsid w:val="00E60DF3"/>
    <w:rsid w:val="00E724E5"/>
    <w:rsid w:val="00E745ED"/>
    <w:rsid w:val="00E77E2B"/>
    <w:rsid w:val="00E8120B"/>
    <w:rsid w:val="00E846BA"/>
    <w:rsid w:val="00E84AE8"/>
    <w:rsid w:val="00E86C47"/>
    <w:rsid w:val="00E92CC7"/>
    <w:rsid w:val="00E93D45"/>
    <w:rsid w:val="00EB404E"/>
    <w:rsid w:val="00EC14B1"/>
    <w:rsid w:val="00EC6379"/>
    <w:rsid w:val="00ED507C"/>
    <w:rsid w:val="00ED72CC"/>
    <w:rsid w:val="00EE38CD"/>
    <w:rsid w:val="00EE6D2C"/>
    <w:rsid w:val="00F02271"/>
    <w:rsid w:val="00F17263"/>
    <w:rsid w:val="00F22C99"/>
    <w:rsid w:val="00F35569"/>
    <w:rsid w:val="00F3618F"/>
    <w:rsid w:val="00F503C8"/>
    <w:rsid w:val="00F56689"/>
    <w:rsid w:val="00F853FB"/>
    <w:rsid w:val="00FB3A22"/>
    <w:rsid w:val="00FB3C62"/>
    <w:rsid w:val="00FB6FEC"/>
    <w:rsid w:val="00FC3853"/>
    <w:rsid w:val="00FC53DE"/>
    <w:rsid w:val="00FC629F"/>
    <w:rsid w:val="00FC7652"/>
    <w:rsid w:val="00FD2192"/>
    <w:rsid w:val="00FD7838"/>
    <w:rsid w:val="00FE1360"/>
    <w:rsid w:val="00FE70B2"/>
    <w:rsid w:val="0BBD33F2"/>
    <w:rsid w:val="0BD624E2"/>
    <w:rsid w:val="387F01B7"/>
    <w:rsid w:val="5F802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6"/>
    <w:qFormat/>
    <w:uiPriority w:val="0"/>
    <w:pPr>
      <w:jc w:val="left"/>
    </w:pPr>
    <w:rPr>
      <w:szCs w:val="24"/>
    </w:rPr>
  </w:style>
  <w:style w:type="paragraph" w:styleId="4">
    <w:name w:val="Body Text Indent"/>
    <w:basedOn w:val="1"/>
    <w:qFormat/>
    <w:uiPriority w:val="0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5">
    <w:name w:val="Plain Text"/>
    <w:basedOn w:val="1"/>
    <w:qFormat/>
    <w:uiPriority w:val="0"/>
    <w:pPr>
      <w:widowControl/>
      <w:jc w:val="left"/>
    </w:pPr>
    <w:rPr>
      <w:rFonts w:ascii="Arial" w:hAnsi="Arial"/>
      <w:kern w:val="0"/>
      <w:sz w:val="18"/>
    </w:rPr>
  </w:style>
  <w:style w:type="paragraph" w:styleId="6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10">
    <w:name w:val="Title"/>
    <w:basedOn w:val="1"/>
    <w:link w:val="17"/>
    <w:qFormat/>
    <w:uiPriority w:val="0"/>
    <w:pPr>
      <w:widowControl/>
      <w:jc w:val="center"/>
    </w:pPr>
    <w:rPr>
      <w:b/>
      <w:sz w:val="28"/>
      <w:lang w:eastAsia="en-US"/>
    </w:r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10"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uiPriority w:val="0"/>
  </w:style>
  <w:style w:type="paragraph" w:styleId="21">
    <w:name w:val="List Paragraph"/>
    <w:basedOn w:val="1"/>
    <w:qFormat/>
    <w:uiPriority w:val="99"/>
    <w:pPr>
      <w:ind w:firstLine="420" w:firstLineChars="200"/>
    </w:pPr>
    <w:rPr>
      <w:rFonts w:ascii="Calibri" w:hAnsi="Calibri"/>
    </w:rPr>
  </w:style>
  <w:style w:type="paragraph" w:customStyle="1" w:styleId="22">
    <w:name w:val="p0"/>
    <w:basedOn w:val="1"/>
    <w:uiPriority w:val="0"/>
    <w:pPr>
      <w:widowControl/>
    </w:pPr>
    <w:rPr>
      <w:kern w:val="0"/>
    </w:rPr>
  </w:style>
  <w:style w:type="paragraph" w:customStyle="1" w:styleId="23">
    <w:name w:val="css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24">
    <w:name w:val="清單段落"/>
    <w:basedOn w:val="1"/>
    <w:uiPriority w:val="0"/>
    <w:pPr>
      <w:ind w:left="720"/>
    </w:pPr>
  </w:style>
  <w:style w:type="character" w:customStyle="1" w:styleId="25">
    <w:name w:val="批注框文本 字符"/>
    <w:basedOn w:val="12"/>
    <w:link w:val="6"/>
    <w:semiHidden/>
    <w:uiPriority w:val="99"/>
    <w:rPr>
      <w:kern w:val="2"/>
      <w:sz w:val="18"/>
      <w:szCs w:val="18"/>
    </w:rPr>
  </w:style>
  <w:style w:type="character" w:customStyle="1" w:styleId="26">
    <w:name w:val="批注文字 字符"/>
    <w:basedOn w:val="12"/>
    <w:link w:val="3"/>
    <w:qFormat/>
    <w:uiPriority w:val="0"/>
    <w:rPr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D97C5DA-4B30-6843-93B7-7DF0BE0E69C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5</Pages>
  <Words>1964</Words>
  <Characters>2025</Characters>
  <Lines>14</Lines>
  <Paragraphs>4</Paragraphs>
  <TotalTime>15</TotalTime>
  <ScaleCrop>false</ScaleCrop>
  <LinksUpToDate>false</LinksUpToDate>
  <CharactersWithSpaces>2029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2023-02-20T08:17:00Z</dcterms:created>
  <dc:creator>雨林木风</dc:creator>
  <cp:lastModifiedBy>123</cp:lastModifiedBy>
  <cp:lastPrinted>2013-11-12T01:54:00Z</cp:lastPrinted>
  <dcterms:modified xsi:type="dcterms:W3CDTF">2023-02-21T02:27:11Z</dcterms:modified>
  <dc:title>No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D40928EC5A014D389BA2161B216160DD</vt:lpwstr>
  </property>
</Properties>
</file>