
<file path=[Content_Types].xml><?xml version="1.0" encoding="utf-8"?>
<Types xmlns="http://schemas.openxmlformats.org/package/2006/content-types">
  <Default Extension="dat" ContentType="text/plai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83e7363389864488"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6EC1A490" w:rsidR="001D3F3B" w:rsidRDefault="0022168A" w:rsidP="00E55F12">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京东电商线索营销</w:t>
      </w:r>
      <w:r w:rsidR="00E55F12">
        <w:rPr>
          <w:rFonts w:ascii="微软雅黑" w:eastAsia="微软雅黑" w:hAnsi="微软雅黑" w:cs="Times New Roman" w:hint="eastAsia"/>
          <w:b/>
          <w:sz w:val="32"/>
          <w:szCs w:val="32"/>
        </w:rPr>
        <w:t>医疗植发行业</w:t>
      </w:r>
      <w:r>
        <w:rPr>
          <w:rFonts w:ascii="微软雅黑" w:eastAsia="微软雅黑" w:hAnsi="微软雅黑" w:cs="Times New Roman" w:hint="eastAsia"/>
          <w:b/>
          <w:sz w:val="32"/>
          <w:szCs w:val="32"/>
        </w:rPr>
        <w:t>案例</w:t>
      </w:r>
    </w:p>
    <w:p w14:paraId="0B14D8D6" w14:textId="05647B43" w:rsidR="008B689B" w:rsidRPr="005E121A" w:rsidRDefault="008B689B" w:rsidP="00E55F1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22168A">
        <w:rPr>
          <w:rFonts w:ascii="微软雅黑" w:eastAsia="微软雅黑" w:hAnsi="微软雅黑" w:hint="eastAsia"/>
          <w:sz w:val="21"/>
          <w:szCs w:val="21"/>
        </w:rPr>
        <w:t>京东</w:t>
      </w:r>
    </w:p>
    <w:p w14:paraId="39CF38F3" w14:textId="5D5F8EA9" w:rsidR="008B689B" w:rsidRPr="005E121A" w:rsidRDefault="008B689B" w:rsidP="00E55F1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22168A">
        <w:rPr>
          <w:rFonts w:ascii="微软雅黑" w:eastAsia="微软雅黑" w:hAnsi="微软雅黑" w:hint="eastAsia"/>
          <w:sz w:val="21"/>
          <w:szCs w:val="21"/>
        </w:rPr>
        <w:t>电商</w:t>
      </w:r>
    </w:p>
    <w:p w14:paraId="5DC88663" w14:textId="7227FC9F" w:rsidR="008B689B" w:rsidRPr="007A4E3A" w:rsidRDefault="008B689B" w:rsidP="00E55F1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22168A">
        <w:rPr>
          <w:rFonts w:ascii="微软雅黑" w:eastAsia="微软雅黑" w:hAnsi="微软雅黑" w:hint="eastAsia"/>
          <w:sz w:val="21"/>
          <w:szCs w:val="21"/>
        </w:rPr>
        <w:t>2</w:t>
      </w:r>
      <w:r w:rsidR="0096488D">
        <w:rPr>
          <w:rFonts w:ascii="微软雅黑" w:eastAsia="微软雅黑" w:hAnsi="微软雅黑"/>
          <w:sz w:val="21"/>
          <w:szCs w:val="21"/>
        </w:rPr>
        <w:t>022.10.20-11.13</w:t>
      </w:r>
    </w:p>
    <w:p w14:paraId="1F6E17B5" w14:textId="0A676258" w:rsidR="005E121A" w:rsidRPr="005E121A" w:rsidRDefault="000631F9" w:rsidP="00E55F1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96488D">
        <w:rPr>
          <w:rFonts w:ascii="微软雅黑" w:eastAsia="微软雅黑" w:hAnsi="微软雅黑" w:hint="eastAsia"/>
          <w:sz w:val="21"/>
          <w:szCs w:val="21"/>
        </w:rPr>
        <w:t>电商营销类</w:t>
      </w:r>
      <w:r w:rsidR="0096488D" w:rsidRPr="005E121A">
        <w:rPr>
          <w:rFonts w:ascii="微软雅黑" w:eastAsia="微软雅黑" w:hAnsi="微软雅黑"/>
          <w:sz w:val="21"/>
          <w:szCs w:val="21"/>
        </w:rPr>
        <w:t xml:space="preserve"> </w:t>
      </w:r>
    </w:p>
    <w:p w14:paraId="0E6F1D1F" w14:textId="586240E6" w:rsidR="00B5241D" w:rsidRPr="002C2690" w:rsidRDefault="000631F9" w:rsidP="00E55F1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224BB13"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hint="eastAsia"/>
          <w:sz w:val="21"/>
          <w:szCs w:val="21"/>
        </w:rPr>
        <w:t>植发医疗作为一种线下服务类目，近年来营销面临诸多挑战。</w:t>
      </w:r>
    </w:p>
    <w:p w14:paraId="76299680" w14:textId="6336706A"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sz w:val="21"/>
          <w:szCs w:val="21"/>
        </w:rPr>
        <w:t>1)</w:t>
      </w:r>
      <w:r w:rsidRPr="00907D2F">
        <w:rPr>
          <w:rFonts w:ascii="微软雅黑" w:eastAsia="微软雅黑" w:hAnsi="微软雅黑"/>
          <w:sz w:val="21"/>
          <w:szCs w:val="21"/>
        </w:rPr>
        <w:tab/>
      </w:r>
      <w:r>
        <w:rPr>
          <w:rFonts w:ascii="微软雅黑" w:eastAsia="微软雅黑" w:hAnsi="微软雅黑"/>
          <w:sz w:val="21"/>
          <w:szCs w:val="21"/>
        </w:rPr>
        <w:t>首先</w:t>
      </w:r>
      <w:r>
        <w:rPr>
          <w:rFonts w:ascii="微软雅黑" w:eastAsia="微软雅黑" w:hAnsi="微软雅黑" w:hint="eastAsia"/>
          <w:sz w:val="21"/>
          <w:szCs w:val="21"/>
        </w:rPr>
        <w:t>，</w:t>
      </w:r>
      <w:r w:rsidRPr="00907D2F">
        <w:rPr>
          <w:rFonts w:ascii="微软雅黑" w:eastAsia="微软雅黑" w:hAnsi="微软雅黑"/>
          <w:sz w:val="21"/>
          <w:szCs w:val="21"/>
        </w:rPr>
        <w:t>过去几年的疫情导致线下推广的营销成本大幅增加，且线下营销推广的效果也不尽如人意；</w:t>
      </w:r>
    </w:p>
    <w:p w14:paraId="347F9B18"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sz w:val="21"/>
          <w:szCs w:val="21"/>
        </w:rPr>
        <w:t>2)</w:t>
      </w:r>
      <w:r w:rsidRPr="00907D2F">
        <w:rPr>
          <w:rFonts w:ascii="微软雅黑" w:eastAsia="微软雅黑" w:hAnsi="微软雅黑"/>
          <w:sz w:val="21"/>
          <w:szCs w:val="21"/>
        </w:rPr>
        <w:tab/>
        <w:t>其次，近年来国内植发新兴品牌众多，行业整体竞争激烈，获客成本激增；</w:t>
      </w:r>
    </w:p>
    <w:p w14:paraId="43C9EBDD" w14:textId="1E6DC575" w:rsidR="005F5C93" w:rsidRPr="005F5C93"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sz w:val="21"/>
          <w:szCs w:val="21"/>
        </w:rPr>
        <w:t>3)</w:t>
      </w:r>
      <w:r w:rsidRPr="00907D2F">
        <w:rPr>
          <w:rFonts w:ascii="微软雅黑" w:eastAsia="微软雅黑" w:hAnsi="微软雅黑"/>
          <w:sz w:val="21"/>
          <w:szCs w:val="21"/>
        </w:rPr>
        <w:tab/>
        <w:t>最后，受限于国家数据隐私安全保护，医疗植发机构无法再从线上轻松获取用户个人隐私信息，这也大大影响了品牌主高效定位目标客户。</w:t>
      </w:r>
    </w:p>
    <w:p w14:paraId="3751F760" w14:textId="2C05EEC6" w:rsidR="000631F9" w:rsidRPr="002C2690" w:rsidRDefault="000631F9" w:rsidP="00E55F1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5A0BBDEF"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sz w:val="21"/>
          <w:szCs w:val="21"/>
        </w:rPr>
        <w:t>1)</w:t>
      </w:r>
      <w:r w:rsidRPr="00907D2F">
        <w:rPr>
          <w:rFonts w:ascii="微软雅黑" w:eastAsia="微软雅黑" w:hAnsi="微软雅黑"/>
          <w:sz w:val="21"/>
          <w:szCs w:val="21"/>
        </w:rPr>
        <w:tab/>
        <w:t>京东作为国内靠前的电商平台，拥有比较丰富的用户历史数据，利用深度学习、强化学习、博弈论等技术，平台可以从活跃用户中精准找到有植发需求的目标用户。</w:t>
      </w:r>
    </w:p>
    <w:p w14:paraId="6D1EE97F" w14:textId="0F8250BF" w:rsidR="005F5C93" w:rsidRPr="005F5C93"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sz w:val="21"/>
          <w:szCs w:val="21"/>
        </w:rPr>
        <w:t>2)</w:t>
      </w:r>
      <w:r w:rsidRPr="00907D2F">
        <w:rPr>
          <w:rFonts w:ascii="微软雅黑" w:eastAsia="微软雅黑" w:hAnsi="微软雅黑"/>
          <w:sz w:val="21"/>
          <w:szCs w:val="21"/>
        </w:rPr>
        <w:tab/>
        <w:t>再结合电商平台特有的强权益卖点，吸引优质用户线下到店体验咨询，最终帮助客户完成品效合一的营销推广。</w:t>
      </w:r>
    </w:p>
    <w:p w14:paraId="40607E58" w14:textId="77777777" w:rsidR="00B5241D" w:rsidRPr="002C2690" w:rsidRDefault="000631F9" w:rsidP="00E55F1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6221CE3" w14:textId="389ABB3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hint="eastAsia"/>
          <w:sz w:val="21"/>
          <w:szCs w:val="21"/>
        </w:rPr>
        <w:t>针对以上目标，我们主要制定了以下几点营销策略策略：隐私保护下的深度建模、品牌商历史画像人群圈选、跨品类人群圈选、线下数据回流反馈。</w:t>
      </w:r>
    </w:p>
    <w:p w14:paraId="15BB1B8A"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1)</w:t>
      </w:r>
      <w:r w:rsidRPr="00907D2F">
        <w:rPr>
          <w:rFonts w:ascii="微软雅黑" w:eastAsia="微软雅黑" w:hAnsi="微软雅黑"/>
          <w:b/>
          <w:sz w:val="21"/>
          <w:szCs w:val="21"/>
        </w:rPr>
        <w:tab/>
        <w:t>隐私保护下的深度建模：</w:t>
      </w:r>
      <w:r w:rsidRPr="00907D2F">
        <w:rPr>
          <w:rFonts w:ascii="微软雅黑" w:eastAsia="微软雅黑" w:hAnsi="微软雅黑"/>
          <w:sz w:val="21"/>
          <w:szCs w:val="21"/>
        </w:rPr>
        <w:t>我们依托电商平台自由的强大用户零售数据，在数据安全合规的保证下，利用技术手段将用户关键信息进行脱敏保护后进行大规模的深度模型训练，从而快速高效找到对植发感兴趣的目标人群。</w:t>
      </w:r>
    </w:p>
    <w:p w14:paraId="461C4656"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2)</w:t>
      </w:r>
      <w:r w:rsidRPr="00907D2F">
        <w:rPr>
          <w:rFonts w:ascii="微软雅黑" w:eastAsia="微软雅黑" w:hAnsi="微软雅黑"/>
          <w:b/>
          <w:sz w:val="21"/>
          <w:szCs w:val="21"/>
        </w:rPr>
        <w:tab/>
        <w:t>品牌商历史画像人群圈选：</w:t>
      </w:r>
      <w:r w:rsidRPr="00907D2F">
        <w:rPr>
          <w:rFonts w:ascii="微软雅黑" w:eastAsia="微软雅黑" w:hAnsi="微软雅黑"/>
          <w:sz w:val="21"/>
          <w:szCs w:val="21"/>
        </w:rPr>
        <w:t>根据客户历史统计的目标客户人群标签，我们从电商用户中寻找“高学历”、“熬夜”、“高压工作”等相关人群，再结合这部分用户近期行为数据，筛选出最适合人群进行投放。</w:t>
      </w:r>
    </w:p>
    <w:p w14:paraId="45C33CD7" w14:textId="77777777"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lastRenderedPageBreak/>
        <w:t>3)</w:t>
      </w:r>
      <w:r w:rsidRPr="00907D2F">
        <w:rPr>
          <w:rFonts w:ascii="微软雅黑" w:eastAsia="微软雅黑" w:hAnsi="微软雅黑"/>
          <w:b/>
          <w:sz w:val="21"/>
          <w:szCs w:val="21"/>
        </w:rPr>
        <w:tab/>
        <w:t>跨品类人群圈选：</w:t>
      </w:r>
      <w:r w:rsidRPr="00907D2F">
        <w:rPr>
          <w:rFonts w:ascii="微软雅黑" w:eastAsia="微软雅黑" w:hAnsi="微软雅黑"/>
          <w:sz w:val="21"/>
          <w:szCs w:val="21"/>
        </w:rPr>
        <w:t>同时我们根据大数据分析发现，零售品类中的“假发”、“防脱洗发水”、“米诺地尔”等类目的历史行为人群和医疗植发类目的人群具有高度重合度，因此我们又制定了策略，从这些强关联类目中圈选优质客户进行投放。</w:t>
      </w:r>
    </w:p>
    <w:p w14:paraId="5293AC13" w14:textId="230D100A" w:rsidR="007A4E3A"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4)</w:t>
      </w:r>
      <w:r w:rsidRPr="00907D2F">
        <w:rPr>
          <w:rFonts w:ascii="微软雅黑" w:eastAsia="微软雅黑" w:hAnsi="微软雅黑"/>
          <w:b/>
          <w:sz w:val="21"/>
          <w:szCs w:val="21"/>
        </w:rPr>
        <w:tab/>
        <w:t>线下数据回流反馈：</w:t>
      </w:r>
      <w:r w:rsidRPr="00907D2F">
        <w:rPr>
          <w:rFonts w:ascii="微软雅黑" w:eastAsia="微软雅黑" w:hAnsi="微软雅黑"/>
          <w:sz w:val="21"/>
          <w:szCs w:val="21"/>
        </w:rPr>
        <w:t>过往的投放中，平台的数据链路到线上留资后就停止了，本次投放中，我们根据线下门店二维码核销的方式获取更深漏斗的优质人群，对这些人群进行数据分析后再进行lookalike人群扩展，进一步扩大核心人群的投放，实现线上线下的高效联动。</w:t>
      </w:r>
    </w:p>
    <w:p w14:paraId="472D080E" w14:textId="67004E2A" w:rsidR="00907D2F" w:rsidRPr="005F5C93" w:rsidRDefault="00907D2F" w:rsidP="00E55F1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30D39571" wp14:editId="5CA953CA">
            <wp:extent cx="5273675" cy="2646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646045"/>
                    </a:xfrm>
                    <a:prstGeom prst="rect">
                      <a:avLst/>
                    </a:prstGeom>
                    <a:noFill/>
                  </pic:spPr>
                </pic:pic>
              </a:graphicData>
            </a:graphic>
          </wp:inline>
        </w:drawing>
      </w:r>
    </w:p>
    <w:p w14:paraId="0413AEA7" w14:textId="61EDA515" w:rsidR="00B5241D" w:rsidRPr="002C2690" w:rsidRDefault="000631F9" w:rsidP="00E55F1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68D4BA86" w14:textId="3010B0BB"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(一)投放平台——京东站内外场域联动提效：</w:t>
      </w:r>
      <w:r w:rsidRPr="00907D2F">
        <w:rPr>
          <w:rFonts w:ascii="微软雅黑" w:eastAsia="微软雅黑" w:hAnsi="微软雅黑"/>
          <w:sz w:val="21"/>
          <w:szCs w:val="21"/>
        </w:rPr>
        <w:t>主要在京东站内多点位投放，少量投放站外其他app信息流广告。由于我们目前掌握较多的是平台用户的相关数据，且通过历史经验来看，站内整体投放效果更佳，因此本次投放预算大部分用于京东站内投放。对于系统挖掘出来的强意向但是近期未访问京东app的客户，我们会少量投放站外全网广告进行站外引流，引导客户进入京东app内部进行线索留资。</w:t>
      </w:r>
    </w:p>
    <w:p w14:paraId="00DF2526" w14:textId="254CD1FF" w:rsidR="00907D2F" w:rsidRPr="00907D2F"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(二)</w:t>
      </w:r>
      <w:r w:rsidRPr="00907D2F">
        <w:rPr>
          <w:rFonts w:ascii="微软雅黑" w:eastAsia="微软雅黑" w:hAnsi="微软雅黑"/>
          <w:b/>
          <w:sz w:val="21"/>
          <w:szCs w:val="21"/>
        </w:rPr>
        <w:tab/>
        <w:t>投放策略——不同用户路径下的媒介触点策略：</w:t>
      </w:r>
      <w:r w:rsidRPr="00907D2F">
        <w:rPr>
          <w:rFonts w:ascii="微软雅黑" w:eastAsia="微软雅黑" w:hAnsi="微软雅黑"/>
          <w:sz w:val="21"/>
          <w:szCs w:val="21"/>
        </w:rPr>
        <w:t>不同点位依据效果选用不同的智能出价方式进行，在站外app联盟和首页焦点图这种品牌宣传和引流属性较强的场景，我们采用以点击为目标的预算控制型出价方式，最大化获取进店流量。在推荐信息流和搜索这种收割场景，我们采用以下单（留资）为目标的成本控制型出价方式，精准收割目标人群的同时控制最终成本在合理范围内。</w:t>
      </w:r>
    </w:p>
    <w:p w14:paraId="42F98493" w14:textId="0F20D851" w:rsidR="00847B24" w:rsidRDefault="00907D2F" w:rsidP="00E55F12">
      <w:pPr>
        <w:spacing w:before="100" w:beforeAutospacing="1" w:after="100" w:afterAutospacing="1"/>
        <w:textAlignment w:val="baseline"/>
        <w:rPr>
          <w:rFonts w:ascii="微软雅黑" w:eastAsia="微软雅黑" w:hAnsi="微软雅黑"/>
          <w:sz w:val="21"/>
          <w:szCs w:val="21"/>
        </w:rPr>
      </w:pPr>
      <w:r w:rsidRPr="00907D2F">
        <w:rPr>
          <w:rFonts w:ascii="微软雅黑" w:eastAsia="微软雅黑" w:hAnsi="微软雅黑"/>
          <w:b/>
          <w:sz w:val="21"/>
          <w:szCs w:val="21"/>
        </w:rPr>
        <w:t>(三)</w:t>
      </w:r>
      <w:r w:rsidRPr="00907D2F">
        <w:rPr>
          <w:rFonts w:ascii="微软雅黑" w:eastAsia="微软雅黑" w:hAnsi="微软雅黑"/>
          <w:b/>
          <w:sz w:val="21"/>
          <w:szCs w:val="21"/>
        </w:rPr>
        <w:tab/>
        <w:t>技术能力——自动化投放控制系统干预：</w:t>
      </w:r>
      <w:r w:rsidRPr="00907D2F">
        <w:rPr>
          <w:rFonts w:ascii="微软雅黑" w:eastAsia="微软雅黑" w:hAnsi="微软雅黑"/>
          <w:sz w:val="21"/>
          <w:szCs w:val="21"/>
        </w:rPr>
        <w:t>圈定好目标投放人群并制定好出价方式之后，在线上播放时，我们还结合博弈论、自动控制理论等技术，制定了一套完整的自动预算、出价干预系统，根据线上投放效果实时动态调整不同营销渠道的出价和预算，最终实现最佳的投放效果，示意图如下：</w:t>
      </w:r>
    </w:p>
    <w:p w14:paraId="7A174322" w14:textId="3CD3FBE0" w:rsidR="00907D2F" w:rsidRDefault="00907D2F" w:rsidP="00E55F1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6FC949C0" wp14:editId="21972799">
            <wp:extent cx="3419475" cy="23504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7933" cy="2356275"/>
                    </a:xfrm>
                    <a:prstGeom prst="rect">
                      <a:avLst/>
                    </a:prstGeom>
                    <a:noFill/>
                  </pic:spPr>
                </pic:pic>
              </a:graphicData>
            </a:graphic>
          </wp:inline>
        </w:drawing>
      </w:r>
    </w:p>
    <w:p w14:paraId="60BB18C8" w14:textId="77777777" w:rsidR="00907D2F" w:rsidRPr="00907D2F" w:rsidRDefault="00907D2F" w:rsidP="00E55F12">
      <w:pPr>
        <w:widowControl w:val="0"/>
        <w:jc w:val="both"/>
        <w:textAlignment w:val="baseline"/>
        <w:rPr>
          <w:rFonts w:ascii="微软雅黑" w:eastAsia="微软雅黑" w:hAnsi="微软雅黑"/>
          <w:b/>
          <w:color w:val="0D0D0D" w:themeColor="text1" w:themeTint="F2"/>
          <w:sz w:val="20"/>
          <w:szCs w:val="21"/>
        </w:rPr>
      </w:pPr>
      <w:r w:rsidRPr="00907D2F">
        <w:rPr>
          <w:rFonts w:ascii="微软雅黑" w:eastAsia="微软雅黑" w:hAnsi="微软雅黑" w:hint="eastAsia"/>
          <w:b/>
          <w:color w:val="0D0D0D" w:themeColor="text1" w:themeTint="F2"/>
          <w:sz w:val="20"/>
          <w:szCs w:val="21"/>
        </w:rPr>
        <w:t>（四）品类联合活动页示意图：</w:t>
      </w:r>
    </w:p>
    <w:p w14:paraId="278C1A7D" w14:textId="4ABC181A" w:rsidR="00907D2F" w:rsidRDefault="00907D2F" w:rsidP="00E55F1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195B692E" wp14:editId="16A81F0E">
            <wp:extent cx="3286125" cy="1788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6820" cy="1794584"/>
                    </a:xfrm>
                    <a:prstGeom prst="rect">
                      <a:avLst/>
                    </a:prstGeom>
                    <a:noFill/>
                  </pic:spPr>
                </pic:pic>
              </a:graphicData>
            </a:graphic>
          </wp:inline>
        </w:drawing>
      </w:r>
    </w:p>
    <w:p w14:paraId="0DD1EE02" w14:textId="1D551367" w:rsidR="0022168A" w:rsidRPr="00E55F12" w:rsidRDefault="00907D2F" w:rsidP="00E55F12">
      <w:pPr>
        <w:spacing w:before="100" w:beforeAutospacing="1" w:after="100" w:afterAutospacing="1"/>
        <w:textAlignment w:val="baseline"/>
        <w:rPr>
          <w:rFonts w:ascii="微软雅黑" w:eastAsia="微软雅黑" w:hAnsi="微软雅黑"/>
          <w:sz w:val="21"/>
          <w:szCs w:val="21"/>
        </w:rPr>
      </w:pPr>
      <w:r w:rsidRPr="005D6883">
        <w:rPr>
          <w:noProof/>
          <w:color w:val="0D0D0D" w:themeColor="text1" w:themeTint="F2"/>
          <w:szCs w:val="21"/>
        </w:rPr>
        <w:drawing>
          <wp:inline distT="0" distB="0" distL="0" distR="0" wp14:anchorId="2E3C27EA" wp14:editId="345FE4F1">
            <wp:extent cx="3286125" cy="13158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6032" cy="1339888"/>
                    </a:xfrm>
                    <a:prstGeom prst="rect">
                      <a:avLst/>
                    </a:prstGeom>
                  </pic:spPr>
                </pic:pic>
              </a:graphicData>
            </a:graphic>
          </wp:inline>
        </w:drawing>
      </w:r>
    </w:p>
    <w:p w14:paraId="5783CCA1" w14:textId="6C22CAFB" w:rsidR="00907D2F" w:rsidRPr="00907D2F" w:rsidRDefault="00907D2F" w:rsidP="00E55F12">
      <w:pPr>
        <w:widowControl w:val="0"/>
        <w:jc w:val="both"/>
        <w:textAlignment w:val="baseline"/>
        <w:rPr>
          <w:rFonts w:ascii="微软雅黑" w:eastAsia="微软雅黑" w:hAnsi="微软雅黑"/>
          <w:b/>
          <w:color w:val="0D0D0D" w:themeColor="text1" w:themeTint="F2"/>
          <w:sz w:val="20"/>
          <w:szCs w:val="21"/>
        </w:rPr>
      </w:pPr>
      <w:r w:rsidRPr="00907D2F">
        <w:rPr>
          <w:rFonts w:ascii="微软雅黑" w:eastAsia="微软雅黑" w:hAnsi="微软雅黑" w:hint="eastAsia"/>
          <w:b/>
          <w:color w:val="0D0D0D" w:themeColor="text1" w:themeTint="F2"/>
          <w:sz w:val="20"/>
          <w:szCs w:val="21"/>
        </w:rPr>
        <w:t>（五）广告资源位示例：</w:t>
      </w:r>
    </w:p>
    <w:p w14:paraId="1426ED6B" w14:textId="513EE902" w:rsidR="00E55F12" w:rsidRDefault="00E55F12" w:rsidP="00E55F12">
      <w:pPr>
        <w:widowControl w:val="0"/>
        <w:jc w:val="both"/>
        <w:textAlignment w:val="baseline"/>
        <w:rPr>
          <w:rFonts w:ascii="微软雅黑" w:eastAsia="微软雅黑" w:hAnsi="微软雅黑"/>
          <w:color w:val="0D0D0D" w:themeColor="text1" w:themeTint="F2"/>
          <w:sz w:val="20"/>
          <w:szCs w:val="21"/>
        </w:rPr>
      </w:pPr>
      <w:r>
        <w:rPr>
          <w:noProof/>
        </w:rPr>
        <w:lastRenderedPageBreak/>
        <w:drawing>
          <wp:inline distT="0" distB="0" distL="0" distR="0" wp14:anchorId="757DE08B" wp14:editId="2F658E03">
            <wp:extent cx="5720715" cy="53098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5309870"/>
                    </a:xfrm>
                    <a:prstGeom prst="rect">
                      <a:avLst/>
                    </a:prstGeom>
                  </pic:spPr>
                </pic:pic>
              </a:graphicData>
            </a:graphic>
          </wp:inline>
        </w:drawing>
      </w:r>
    </w:p>
    <w:p w14:paraId="501B2660" w14:textId="3A8373C4" w:rsidR="00E40EE7" w:rsidRPr="002C2690" w:rsidRDefault="000631F9" w:rsidP="00E55F1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44C6CE14" w14:textId="0DFF1BF4" w:rsidR="00907D2F" w:rsidRPr="00907D2F" w:rsidRDefault="00907D2F" w:rsidP="00E55F12">
      <w:pPr>
        <w:spacing w:before="100" w:beforeAutospacing="1" w:after="100" w:afterAutospacing="1"/>
        <w:rPr>
          <w:rFonts w:ascii="微软雅黑" w:eastAsia="微软雅黑" w:hAnsi="微软雅黑"/>
          <w:sz w:val="21"/>
          <w:szCs w:val="21"/>
        </w:rPr>
      </w:pPr>
      <w:r w:rsidRPr="00907D2F">
        <w:rPr>
          <w:rFonts w:ascii="微软雅黑" w:eastAsia="微软雅黑" w:hAnsi="微软雅黑"/>
          <w:b/>
          <w:sz w:val="21"/>
          <w:szCs w:val="21"/>
        </w:rPr>
        <w:t>(一)前链路数据效果：</w:t>
      </w:r>
      <w:r w:rsidRPr="00907D2F">
        <w:rPr>
          <w:rFonts w:ascii="微软雅黑" w:eastAsia="微软雅黑" w:hAnsi="微软雅黑"/>
          <w:sz w:val="21"/>
          <w:szCs w:val="21"/>
        </w:rPr>
        <w:t>以本次双十一投放为例，联合活动页面广告投放共计消耗38万元，环比类目历史投放来看，点击+304.62%，消费+164.32%，ctr+66.70%，cpc-34.67%，加购数+13倍。在质和量两个方面均实现了较大突破。</w:t>
      </w:r>
    </w:p>
    <w:p w14:paraId="42D7693D" w14:textId="1FB4B8F6" w:rsidR="00907D2F" w:rsidRPr="00907D2F" w:rsidRDefault="00907D2F" w:rsidP="00E55F12">
      <w:pPr>
        <w:spacing w:before="100" w:beforeAutospacing="1" w:after="100" w:afterAutospacing="1"/>
        <w:rPr>
          <w:rFonts w:ascii="微软雅黑" w:eastAsia="微软雅黑" w:hAnsi="微软雅黑"/>
          <w:sz w:val="21"/>
          <w:szCs w:val="21"/>
        </w:rPr>
      </w:pPr>
      <w:r w:rsidRPr="00907D2F">
        <w:rPr>
          <w:rFonts w:ascii="微软雅黑" w:eastAsia="微软雅黑" w:hAnsi="微软雅黑"/>
          <w:b/>
          <w:sz w:val="21"/>
          <w:szCs w:val="21"/>
        </w:rPr>
        <w:t>(二)</w:t>
      </w:r>
      <w:r w:rsidRPr="00907D2F">
        <w:rPr>
          <w:rFonts w:ascii="微软雅黑" w:eastAsia="微软雅黑" w:hAnsi="微软雅黑"/>
          <w:b/>
          <w:sz w:val="21"/>
          <w:szCs w:val="21"/>
        </w:rPr>
        <w:tab/>
        <w:t>后链路数据效果：</w:t>
      </w:r>
      <w:r w:rsidRPr="00907D2F">
        <w:rPr>
          <w:rFonts w:ascii="微软雅黑" w:eastAsia="微软雅黑" w:hAnsi="微软雅黑"/>
          <w:sz w:val="21"/>
          <w:szCs w:val="21"/>
        </w:rPr>
        <w:t>通过本次投放共计为各植发品牌商家带来518个有效留资，同时也验证了通过算法赋能的方式可以为植发这种高客单价的线下服务类行业带来大幅的营销效果提升。</w:t>
      </w:r>
    </w:p>
    <w:p w14:paraId="5CED21F3" w14:textId="77777777" w:rsidR="00907D2F" w:rsidRPr="00907D2F" w:rsidRDefault="00907D2F" w:rsidP="00E55F12">
      <w:pPr>
        <w:spacing w:before="100" w:beforeAutospacing="1" w:after="100" w:afterAutospacing="1"/>
        <w:rPr>
          <w:rFonts w:ascii="微软雅黑" w:eastAsia="微软雅黑" w:hAnsi="微软雅黑"/>
          <w:b/>
          <w:sz w:val="21"/>
          <w:szCs w:val="21"/>
        </w:rPr>
      </w:pPr>
      <w:r w:rsidRPr="00907D2F">
        <w:rPr>
          <w:rFonts w:ascii="微软雅黑" w:eastAsia="微软雅黑" w:hAnsi="微软雅黑"/>
          <w:b/>
          <w:sz w:val="21"/>
          <w:szCs w:val="21"/>
        </w:rPr>
        <w:t>(三)</w:t>
      </w:r>
      <w:r w:rsidRPr="00907D2F">
        <w:rPr>
          <w:rFonts w:ascii="微软雅黑" w:eastAsia="微软雅黑" w:hAnsi="微软雅黑"/>
          <w:b/>
          <w:sz w:val="21"/>
          <w:szCs w:val="21"/>
        </w:rPr>
        <w:tab/>
        <w:t>活动复盘与经验总结：</w:t>
      </w:r>
    </w:p>
    <w:p w14:paraId="74023D67" w14:textId="71CC26CF" w:rsidR="00907D2F" w:rsidRPr="00907D2F" w:rsidRDefault="00907D2F" w:rsidP="00E55F12">
      <w:pPr>
        <w:spacing w:before="100" w:beforeAutospacing="1" w:after="100" w:afterAutospacing="1"/>
        <w:rPr>
          <w:rFonts w:ascii="微软雅黑" w:eastAsia="微软雅黑" w:hAnsi="微软雅黑"/>
          <w:sz w:val="21"/>
          <w:szCs w:val="21"/>
        </w:rPr>
      </w:pPr>
      <w:r w:rsidRPr="00907D2F">
        <w:rPr>
          <w:rFonts w:ascii="微软雅黑" w:eastAsia="微软雅黑" w:hAnsi="微软雅黑"/>
          <w:b/>
          <w:sz w:val="21"/>
          <w:szCs w:val="21"/>
        </w:rPr>
        <w:t>1)</w:t>
      </w:r>
      <w:r w:rsidRPr="00907D2F">
        <w:rPr>
          <w:rFonts w:ascii="微软雅黑" w:eastAsia="微软雅黑" w:hAnsi="微软雅黑"/>
          <w:b/>
          <w:sz w:val="21"/>
          <w:szCs w:val="21"/>
        </w:rPr>
        <w:tab/>
        <w:t>分资源位来看：</w:t>
      </w:r>
      <w:r w:rsidRPr="00907D2F">
        <w:rPr>
          <w:rFonts w:ascii="微软雅黑" w:eastAsia="微软雅黑" w:hAnsi="微软雅黑"/>
          <w:sz w:val="21"/>
          <w:szCs w:val="21"/>
        </w:rPr>
        <w:t>站外整体的CPM、CPC成本最低，但是转化效果不佳；站内展位场景的CPC成本较低，但是CTR也相对较低，更多起到品牌宣传推广的作用；站内推荐场景的转化量最大，同时CTR、CVR也较高，是用户收割的主战场；站内搜索场景CVR最高，但由于依赖用户主动搜索，整体体量相对较小。</w:t>
      </w:r>
    </w:p>
    <w:p w14:paraId="5F07730E" w14:textId="4DEFC61E" w:rsidR="00907D2F" w:rsidRPr="00907D2F" w:rsidRDefault="00907D2F" w:rsidP="00E55F12">
      <w:pPr>
        <w:spacing w:before="100" w:beforeAutospacing="1" w:after="100" w:afterAutospacing="1"/>
        <w:rPr>
          <w:rFonts w:ascii="微软雅黑" w:eastAsia="微软雅黑" w:hAnsi="微软雅黑"/>
          <w:sz w:val="21"/>
          <w:szCs w:val="21"/>
        </w:rPr>
      </w:pPr>
      <w:r w:rsidRPr="00907D2F">
        <w:rPr>
          <w:rFonts w:ascii="微软雅黑" w:eastAsia="微软雅黑" w:hAnsi="微软雅黑"/>
          <w:b/>
          <w:sz w:val="21"/>
          <w:szCs w:val="21"/>
        </w:rPr>
        <w:lastRenderedPageBreak/>
        <w:t>2)</w:t>
      </w:r>
      <w:r w:rsidRPr="00907D2F">
        <w:rPr>
          <w:rFonts w:ascii="微软雅黑" w:eastAsia="微软雅黑" w:hAnsi="微软雅黑"/>
          <w:b/>
          <w:sz w:val="21"/>
          <w:szCs w:val="21"/>
        </w:rPr>
        <w:tab/>
        <w:t>分人群来看：</w:t>
      </w:r>
      <w:r w:rsidRPr="00907D2F">
        <w:rPr>
          <w:rFonts w:ascii="微软雅黑" w:eastAsia="微软雅黑" w:hAnsi="微软雅黑"/>
          <w:sz w:val="21"/>
          <w:szCs w:val="21"/>
        </w:rPr>
        <w:t>近期有过植发类目浏览、加购行为的人群转化率最高，深度模型训练产生的算法人群转化率第二，关联类目如假发、防脱洗发水等类目行为的人群转化率第三，最后是单纯基于用户画像进行圈选的目标人群。后续投放可通过上述经验进行更好的人群筛选。</w:t>
      </w:r>
    </w:p>
    <w:p w14:paraId="5F62C0FD" w14:textId="3E0DB5DC" w:rsidR="00847B24" w:rsidRPr="005F5C93" w:rsidRDefault="00907D2F" w:rsidP="00E55F12">
      <w:pPr>
        <w:spacing w:before="100" w:beforeAutospacing="1" w:after="100" w:afterAutospacing="1"/>
        <w:rPr>
          <w:rFonts w:ascii="微软雅黑" w:eastAsia="微软雅黑" w:hAnsi="微软雅黑"/>
          <w:sz w:val="21"/>
          <w:szCs w:val="21"/>
        </w:rPr>
      </w:pPr>
      <w:r w:rsidRPr="00907D2F">
        <w:rPr>
          <w:rFonts w:ascii="微软雅黑" w:eastAsia="微软雅黑" w:hAnsi="微软雅黑" w:hint="eastAsia"/>
          <w:sz w:val="21"/>
          <w:szCs w:val="21"/>
        </w:rPr>
        <w:t>备注：数据来自京东广告代理投放账户明细、事业部联合活动页面后台数据等</w:t>
      </w:r>
      <w:r w:rsidR="00E55F12">
        <w:rPr>
          <w:rFonts w:ascii="微软雅黑" w:eastAsia="微软雅黑" w:hAnsi="微软雅黑" w:hint="eastAsia"/>
          <w:sz w:val="21"/>
          <w:szCs w:val="21"/>
        </w:rPr>
        <w:t>。</w:t>
      </w:r>
    </w:p>
    <w:sectPr w:rsidR="00847B24" w:rsidRPr="005F5C93" w:rsidSect="00970C56">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55EB" w14:textId="77777777" w:rsidR="00E45EE3" w:rsidRDefault="00E45EE3">
      <w:r>
        <w:separator/>
      </w:r>
    </w:p>
  </w:endnote>
  <w:endnote w:type="continuationSeparator" w:id="0">
    <w:p w14:paraId="11FCE3D9" w14:textId="77777777" w:rsidR="00E45EE3" w:rsidRDefault="00E4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F841" w14:textId="77777777" w:rsidR="00E45EE3" w:rsidRDefault="00E45EE3">
      <w:r>
        <w:separator/>
      </w:r>
    </w:p>
  </w:footnote>
  <w:footnote w:type="continuationSeparator" w:id="0">
    <w:p w14:paraId="1A7E15AC" w14:textId="77777777" w:rsidR="00E45EE3" w:rsidRDefault="00E4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6837281">
    <w:abstractNumId w:val="8"/>
  </w:num>
  <w:num w:numId="2" w16cid:durableId="892498695">
    <w:abstractNumId w:val="7"/>
  </w:num>
  <w:num w:numId="3" w16cid:durableId="1418476307">
    <w:abstractNumId w:val="2"/>
  </w:num>
  <w:num w:numId="4" w16cid:durableId="789475863">
    <w:abstractNumId w:val="5"/>
  </w:num>
  <w:num w:numId="5" w16cid:durableId="507524919">
    <w:abstractNumId w:val="0"/>
  </w:num>
  <w:num w:numId="6" w16cid:durableId="1551112361">
    <w:abstractNumId w:val="16"/>
  </w:num>
  <w:num w:numId="7" w16cid:durableId="15274383">
    <w:abstractNumId w:val="14"/>
  </w:num>
  <w:num w:numId="8" w16cid:durableId="1545211378">
    <w:abstractNumId w:val="11"/>
  </w:num>
  <w:num w:numId="9" w16cid:durableId="1952585876">
    <w:abstractNumId w:val="10"/>
  </w:num>
  <w:num w:numId="10" w16cid:durableId="2088455957">
    <w:abstractNumId w:val="9"/>
  </w:num>
  <w:num w:numId="11" w16cid:durableId="602306495">
    <w:abstractNumId w:val="12"/>
  </w:num>
  <w:num w:numId="12" w16cid:durableId="1551263111">
    <w:abstractNumId w:val="15"/>
  </w:num>
  <w:num w:numId="13" w16cid:durableId="829253319">
    <w:abstractNumId w:val="6"/>
  </w:num>
  <w:num w:numId="14" w16cid:durableId="1028600349">
    <w:abstractNumId w:val="13"/>
  </w:num>
  <w:num w:numId="15" w16cid:durableId="451246619">
    <w:abstractNumId w:val="3"/>
  </w:num>
  <w:num w:numId="16" w16cid:durableId="2136168875">
    <w:abstractNumId w:val="4"/>
  </w:num>
  <w:num w:numId="17" w16cid:durableId="978264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2B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2168A"/>
    <w:rsid w:val="0023746F"/>
    <w:rsid w:val="002405B6"/>
    <w:rsid w:val="00250580"/>
    <w:rsid w:val="00252186"/>
    <w:rsid w:val="00255B1F"/>
    <w:rsid w:val="00262A77"/>
    <w:rsid w:val="00263121"/>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0A0F"/>
    <w:rsid w:val="00371D9E"/>
    <w:rsid w:val="00371F8B"/>
    <w:rsid w:val="00386E93"/>
    <w:rsid w:val="0038758A"/>
    <w:rsid w:val="003A2FD7"/>
    <w:rsid w:val="003A3097"/>
    <w:rsid w:val="003A3802"/>
    <w:rsid w:val="003B69CD"/>
    <w:rsid w:val="003C78A2"/>
    <w:rsid w:val="003D3E00"/>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55735"/>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07D2F"/>
    <w:rsid w:val="00910C5D"/>
    <w:rsid w:val="00911F7D"/>
    <w:rsid w:val="00913B2E"/>
    <w:rsid w:val="00915DD8"/>
    <w:rsid w:val="009205FC"/>
    <w:rsid w:val="00932225"/>
    <w:rsid w:val="00932353"/>
    <w:rsid w:val="00946CB6"/>
    <w:rsid w:val="009573AC"/>
    <w:rsid w:val="0096488D"/>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6B1C"/>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5EE3"/>
    <w:rsid w:val="00E46527"/>
    <w:rsid w:val="00E52687"/>
    <w:rsid w:val="00E55F12"/>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49AA72E-F8DC-48A5-9C01-87914472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292</Words>
  <Characters>1671</Characters>
  <Application>Microsoft Office Word</Application>
  <DocSecurity>0</DocSecurity>
  <PresentationFormat/>
  <Lines>13</Lines>
  <Paragraphs>3</Paragraphs>
  <Slides>0</Slides>
  <Notes>0</Notes>
  <HiddenSlides>0</HiddenSlides>
  <MMClips>0</MMClips>
  <ScaleCrop>false</ScaleCrop>
  <Company>WWW.YlmF.CoM</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3</cp:revision>
  <cp:lastPrinted>2012-10-11T08:46:00Z</cp:lastPrinted>
  <dcterms:created xsi:type="dcterms:W3CDTF">2023-02-17T10:52:00Z</dcterms:created>
  <dcterms:modified xsi:type="dcterms:W3CDTF">2023-02-22T12:58:00Z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