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before="240" w:beforeLines="100" w:after="240" w:afterLines="100"/>
        <w:jc w:val="center"/>
        <w:textAlignment w:val="auto"/>
        <w:rPr>
          <w:rFonts w:ascii="微软雅黑" w:hAnsi="微软雅黑" w:eastAsia="微软雅黑"/>
          <w:b/>
          <w:kern w:val="0"/>
          <w:sz w:val="32"/>
          <w:szCs w:val="32"/>
        </w:rPr>
      </w:pPr>
      <w:r>
        <w:rPr>
          <w:rFonts w:hint="eastAsia" w:ascii="微软雅黑" w:hAnsi="微软雅黑" w:eastAsia="微软雅黑"/>
          <w:b/>
          <w:kern w:val="0"/>
          <w:sz w:val="32"/>
          <w:szCs w:val="32"/>
        </w:rPr>
        <w:t>东鹏特饮</w:t>
      </w:r>
    </w:p>
    <w:p>
      <w:pPr>
        <w:rPr>
          <w:rFonts w:ascii="微软雅黑" w:hAnsi="微软雅黑" w:eastAsia="微软雅黑"/>
          <w:b/>
          <w:color w:val="EAB300"/>
          <w:kern w:val="0"/>
          <w:sz w:val="32"/>
        </w:rPr>
      </w:pPr>
      <w:r>
        <w:rPr>
          <w:rFonts w:hint="eastAsia" w:ascii="微软雅黑" w:hAnsi="微软雅黑" w:eastAsia="微软雅黑"/>
          <w:b/>
        </w:rPr>
        <w:t>所属行业</w:t>
      </w:r>
      <w:r>
        <w:rPr>
          <w:rFonts w:hint="eastAsia" w:ascii="微软雅黑" w:hAnsi="微软雅黑" w:eastAsia="微软雅黑"/>
        </w:rPr>
        <w:t>：食品饮料</w:t>
      </w:r>
    </w:p>
    <w:p>
      <w:pPr>
        <w:rPr>
          <w:rFonts w:hint="eastAsia" w:ascii="微软雅黑" w:hAnsi="微软雅黑" w:eastAsia="微软雅黑"/>
        </w:rPr>
      </w:pPr>
      <w:r>
        <w:rPr>
          <w:rFonts w:hint="eastAsia" w:ascii="微软雅黑" w:hAnsi="微软雅黑" w:eastAsia="微软雅黑"/>
          <w:b/>
        </w:rPr>
        <w:t>参选类别</w:t>
      </w:r>
      <w:r>
        <w:rPr>
          <w:rFonts w:hint="eastAsia" w:ascii="微软雅黑" w:hAnsi="微软雅黑" w:eastAsia="微软雅黑"/>
        </w:rPr>
        <w:t>：数字营销最具影响力品牌</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品牌简介</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100" w:beforeAutospacing="1" w:after="100" w:afterAutospacing="1"/>
        <w:ind w:firstLine="0" w:firstLineChars="0"/>
        <w:jc w:val="left"/>
        <w:textAlignment w:val="baseline"/>
        <w:rPr>
          <w:rFonts w:ascii="微软雅黑" w:hAnsi="微软雅黑" w:eastAsia="微软雅黑"/>
        </w:rPr>
      </w:pPr>
      <w:r>
        <w:rPr>
          <w:rFonts w:hint="eastAsia" w:ascii="微软雅黑" w:hAnsi="微软雅黑" w:eastAsia="微软雅黑"/>
        </w:rPr>
        <w:t>东鹏特饮1</w:t>
      </w:r>
      <w:r>
        <w:rPr>
          <w:rFonts w:ascii="微软雅黑" w:hAnsi="微软雅黑" w:eastAsia="微软雅黑"/>
        </w:rPr>
        <w:t>994</w:t>
      </w:r>
      <w:r>
        <w:rPr>
          <w:rFonts w:hint="eastAsia" w:ascii="微软雅黑" w:hAnsi="微软雅黑" w:eastAsia="微软雅黑"/>
        </w:rPr>
        <w:t>年成立，2021年5月A股主板上市，成为中国功能饮料第一股，2</w:t>
      </w:r>
      <w:r>
        <w:rPr>
          <w:rFonts w:ascii="微软雅黑" w:hAnsi="微软雅黑" w:eastAsia="微软雅黑"/>
        </w:rPr>
        <w:t>022</w:t>
      </w:r>
      <w:r>
        <w:rPr>
          <w:rFonts w:hint="eastAsia" w:ascii="微软雅黑" w:hAnsi="微软雅黑" w:eastAsia="微软雅黑"/>
        </w:rPr>
        <w:t>年营收85.01亿元，净利润14.42亿元，连续两年行业销售量第一；2022年东鹏特饮销售量份额36.7%，为中国能量饮料销售量第一品牌。根据弗若斯特沙利文的报告，在全球前五的能量饮料企业中，东鹏饮料的销售量及销售额增速均位列第一；截止2021年底，东鹏饮料成为全球第四大能量饮料企业。</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100" w:beforeAutospacing="1" w:after="100" w:afterAutospacing="1"/>
        <w:ind w:firstLine="0" w:firstLineChars="0"/>
        <w:jc w:val="left"/>
        <w:textAlignment w:val="baseline"/>
        <w:rPr>
          <w:rFonts w:ascii="微软雅黑" w:hAnsi="微软雅黑" w:eastAsia="微软雅黑"/>
        </w:rPr>
      </w:pPr>
      <w:r>
        <w:rPr>
          <w:rFonts w:hint="eastAsia" w:ascii="微软雅黑" w:hAnsi="微软雅黑" w:eastAsia="微软雅黑"/>
          <w:b/>
          <w:bCs/>
        </w:rPr>
        <w:t>东鹏特饮目标人群</w:t>
      </w:r>
      <w:r>
        <w:rPr>
          <w:rFonts w:hint="eastAsia" w:ascii="微软雅黑" w:hAnsi="微软雅黑" w:eastAsia="微软雅黑"/>
        </w:rPr>
        <w:t>：白领人群、开车人群、娱乐人群、运动人群、学生人群等拼搏人群，旨在让奋斗者拥有拼搏的能量。</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100" w:beforeAutospacing="1" w:after="100" w:afterAutospacing="1"/>
        <w:ind w:firstLine="0" w:firstLineChars="0"/>
        <w:jc w:val="left"/>
        <w:textAlignment w:val="baseline"/>
        <w:rPr>
          <w:rFonts w:ascii="微软雅黑" w:hAnsi="微软雅黑" w:eastAsia="微软雅黑"/>
          <w:b/>
          <w:color w:val="0000FF"/>
          <w:sz w:val="24"/>
          <w:szCs w:val="24"/>
        </w:rPr>
      </w:pPr>
      <w:r>
        <w:rPr>
          <w:rFonts w:hint="eastAsia" w:ascii="微软雅黑" w:hAnsi="微软雅黑" w:eastAsia="微软雅黑"/>
        </w:rPr>
        <w:t>东鹏特饮在2022年凯度BrandZ最具价值中国品牌100强排第83位；2022年胡润中国500强排第</w:t>
      </w:r>
      <w:r>
        <w:rPr>
          <w:rFonts w:hint="eastAsia" w:ascii="微软雅黑" w:hAnsi="微软雅黑" w:eastAsia="微软雅黑"/>
          <w:lang w:val="en-US" w:eastAsia="zh-CN"/>
        </w:rPr>
        <w:t>175</w:t>
      </w:r>
      <w:r>
        <w:rPr>
          <w:rFonts w:hint="eastAsia" w:ascii="微软雅黑" w:hAnsi="微软雅黑" w:eastAsia="微软雅黑"/>
        </w:rPr>
        <w:t>位；2022年Chnbrand中国品牌力指数功能饮料前三。</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20</w:t>
      </w:r>
      <w:r>
        <w:rPr>
          <w:rFonts w:ascii="微软雅黑" w:hAnsi="微软雅黑" w:eastAsia="微软雅黑" w:cs="宋体"/>
          <w:b/>
          <w:color w:val="C79E5B"/>
          <w:kern w:val="0"/>
          <w:sz w:val="28"/>
          <w:szCs w:val="24"/>
        </w:rPr>
        <w:t>22</w:t>
      </w:r>
      <w:r>
        <w:rPr>
          <w:rFonts w:hint="eastAsia" w:ascii="微软雅黑" w:hAnsi="微软雅黑" w:eastAsia="微软雅黑" w:cs="宋体"/>
          <w:b/>
          <w:color w:val="C79E5B"/>
          <w:kern w:val="0"/>
          <w:sz w:val="28"/>
          <w:szCs w:val="24"/>
        </w:rPr>
        <w:t>年数字营销影响力表现</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100" w:beforeAutospacing="1" w:after="100" w:afterAutospacing="1"/>
        <w:ind w:firstLine="0" w:firstLineChars="0"/>
        <w:jc w:val="left"/>
        <w:textAlignment w:val="baseline"/>
        <w:rPr>
          <w:rFonts w:ascii="微软雅黑" w:hAnsi="微软雅黑" w:eastAsia="微软雅黑"/>
        </w:rPr>
      </w:pPr>
      <w:r>
        <w:rPr>
          <w:rFonts w:hint="eastAsia" w:ascii="微软雅黑" w:hAnsi="微软雅黑" w:eastAsia="微软雅黑"/>
        </w:rPr>
        <w:t>东鹏特饮从开始籍籍无名的小众品牌到成功走入大众视野，再到如今成为国产能量饮料领军者，东鹏饮料一路高速成长，不断积攒实力。而在2</w:t>
      </w:r>
      <w:r>
        <w:rPr>
          <w:rFonts w:ascii="微软雅黑" w:hAnsi="微软雅黑" w:eastAsia="微软雅黑"/>
        </w:rPr>
        <w:t>022</w:t>
      </w:r>
      <w:r>
        <w:rPr>
          <w:rFonts w:hint="eastAsia" w:ascii="微软雅黑" w:hAnsi="微软雅黑" w:eastAsia="微软雅黑"/>
        </w:rPr>
        <w:t>年，东鹏饮料继续“醒着拼”，匠心打造产品力，提升品牌力，创新营销展现品牌活力……持续发力，攀登品牌新高度。</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100" w:beforeAutospacing="1" w:after="100" w:afterAutospacing="1"/>
        <w:ind w:firstLine="0" w:firstLineChars="0"/>
        <w:jc w:val="left"/>
        <w:textAlignment w:val="baseline"/>
        <w:rPr>
          <w:rFonts w:ascii="微软雅黑" w:hAnsi="微软雅黑" w:eastAsia="微软雅黑"/>
        </w:rPr>
      </w:pPr>
      <w:r>
        <w:rPr>
          <w:rFonts w:hint="eastAsia" w:ascii="微软雅黑" w:hAnsi="微软雅黑" w:eastAsia="微软雅黑"/>
        </w:rPr>
        <w:t>2</w:t>
      </w:r>
      <w:r>
        <w:rPr>
          <w:rFonts w:ascii="微软雅黑" w:hAnsi="微软雅黑" w:eastAsia="微软雅黑"/>
        </w:rPr>
        <w:t>022</w:t>
      </w:r>
      <w:r>
        <w:rPr>
          <w:rFonts w:hint="eastAsia" w:ascii="微软雅黑" w:hAnsi="微软雅黑" w:eastAsia="微软雅黑"/>
        </w:rPr>
        <w:t>年东鹏饮料大举进军全国市场的同时，将目光投向品牌升级，锁定对功能饮料有大需求的年轻群体，开启“品牌年轻化”战略，集中火力进行品牌渗透。线上线下创新营销，展翅拥抱年轻人。</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100" w:beforeAutospacing="1" w:after="100" w:afterAutospacing="1"/>
        <w:ind w:firstLine="0" w:firstLineChars="0"/>
        <w:jc w:val="left"/>
        <w:textAlignment w:val="baseline"/>
        <w:rPr>
          <w:rFonts w:ascii="微软雅黑" w:hAnsi="微软雅黑" w:eastAsia="微软雅黑"/>
        </w:rPr>
      </w:pPr>
      <w:r>
        <w:rPr>
          <w:rFonts w:ascii="微软雅黑" w:hAnsi="微软雅黑" w:eastAsia="微软雅黑"/>
        </w:rPr>
        <w:t>一方面，</w:t>
      </w:r>
      <w:r>
        <w:rPr>
          <w:rFonts w:hint="eastAsia" w:ascii="微软雅黑" w:hAnsi="微软雅黑" w:eastAsia="微软雅黑"/>
        </w:rPr>
        <w:t>东鹏特饮采取高频次植入热门影视剧、综艺等各种线上营销场景，实现品牌、产品的频繁 “刷脸”，获得年轻群体关注。</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100" w:beforeAutospacing="1" w:after="100" w:afterAutospacing="1"/>
        <w:ind w:firstLine="0" w:firstLineChars="0"/>
        <w:jc w:val="left"/>
        <w:textAlignment w:val="baseline"/>
        <w:rPr>
          <w:rFonts w:ascii="微软雅黑" w:hAnsi="微软雅黑" w:eastAsia="微软雅黑"/>
        </w:rPr>
      </w:pPr>
      <w:r>
        <w:rPr>
          <w:rFonts w:ascii="微软雅黑" w:hAnsi="微软雅黑" w:eastAsia="微软雅黑"/>
        </w:rPr>
        <w:t>另一方面，东鹏特饮在线下数字营销渠道进一步提升品牌认知。</w:t>
      </w:r>
      <w:r>
        <w:rPr>
          <w:rFonts w:hint="eastAsia" w:ascii="微软雅黑" w:hAnsi="微软雅黑" w:eastAsia="微软雅黑"/>
        </w:rPr>
        <w:t>东鹏特饮的广告语“累了困了，喝东鹏特饮”将品牌与年轻人生活中的各种易疲劳场景关联，切入年轻人需求痛点，凸显产品的功效，不仅具有高记忆度，而且具有极强的场景关联特性。因此在渠道选择上，东鹏特饮聚焦具有场景传播与高影响力且能够针对目标人群的数字营销渠道。</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100" w:beforeAutospacing="1" w:after="100" w:afterAutospacing="1"/>
        <w:ind w:firstLine="0" w:firstLineChars="0"/>
        <w:jc w:val="left"/>
        <w:textAlignment w:val="baseline"/>
        <w:rPr>
          <w:rFonts w:ascii="微软雅黑" w:hAnsi="微软雅黑" w:eastAsia="微软雅黑"/>
        </w:rPr>
      </w:pPr>
      <w:r>
        <w:rPr>
          <w:rFonts w:hint="eastAsia" w:ascii="微软雅黑" w:hAnsi="微软雅黑" w:eastAsia="微软雅黑"/>
        </w:rPr>
        <w:t>东鹏特饮与主流电梯媒体合作，亦是东鹏饮料在上市之后继续保持增长的重要支撑。2</w:t>
      </w:r>
      <w:r>
        <w:rPr>
          <w:rFonts w:ascii="微软雅黑" w:hAnsi="微软雅黑" w:eastAsia="微软雅黑"/>
        </w:rPr>
        <w:t>022年，</w:t>
      </w:r>
      <w:r>
        <w:rPr>
          <w:rFonts w:hint="eastAsia" w:ascii="微软雅黑" w:hAnsi="微软雅黑" w:eastAsia="微软雅黑"/>
        </w:rPr>
        <w:t>东鹏特饮品牌广告在电梯媒体的饱和攻击，将品牌的数字营销推向新高潮。继谢霆锋、韩红、杨紫、郭晶晶等多个领域明星在电梯媒体庆祝企业上市，引爆品牌势能之后，东鹏饮料通过持续的重仓布局，向4亿城市主流宣告成为2022年KPL王者荣耀职业联赛官方指定功能饮料，在2022年世界杯期间，通过在电梯媒体上播放以世界杯场景结合的广告片，与世界杯建立强关联。展现出品牌始终与年轻人同行，为中国竞技体育事业摇旗助力的决心，树立起作为民族品牌的影响力。</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100" w:beforeAutospacing="1" w:after="100" w:afterAutospacing="1"/>
        <w:ind w:firstLine="0" w:firstLineChars="0"/>
        <w:jc w:val="left"/>
        <w:textAlignment w:val="baseline"/>
        <w:rPr>
          <w:rFonts w:hint="eastAsia" w:ascii="微软雅黑" w:hAnsi="微软雅黑" w:eastAsia="微软雅黑"/>
        </w:rPr>
      </w:pPr>
      <w:r>
        <w:rPr>
          <w:rFonts w:hint="eastAsia" w:ascii="微软雅黑" w:hAnsi="微软雅黑" w:eastAsia="微软雅黑"/>
        </w:rPr>
        <w:t>正是通过一系列行之有效的数字营销策略，东鹏饮料的知名度不断扩大，成为年轻群体中有口皆碑的品牌。东鹏饮料站在新的起点，以更自信的民族品牌形象开启品牌新的征程。</w:t>
      </w:r>
    </w:p>
    <w:p>
      <w:pPr>
        <w:tabs>
          <w:tab w:val="center" w:pos="4153"/>
          <w:tab w:val="right" w:pos="8306"/>
        </w:tabs>
        <w:snapToGrid w:val="0"/>
        <w:spacing w:before="100" w:beforeAutospacing="1" w:after="100" w:afterAutospacing="1"/>
        <w:jc w:val="left"/>
        <w:textAlignment w:val="baseline"/>
        <w:rPr>
          <w:rFonts w:hint="eastAsia"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代表案例</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left"/>
        <w:textAlignment w:val="auto"/>
        <w:rPr>
          <w:rFonts w:hint="eastAsia" w:ascii="微软雅黑" w:hAnsi="微软雅黑" w:eastAsia="微软雅黑" w:cs="宋体"/>
          <w:b/>
          <w:color w:val="C79E5B"/>
          <w:kern w:val="0"/>
          <w:sz w:val="28"/>
          <w:szCs w:val="24"/>
        </w:rPr>
      </w:pPr>
      <w:r>
        <w:rPr>
          <w:rFonts w:ascii="微软雅黑" w:hAnsi="微软雅黑" w:eastAsia="微软雅黑"/>
          <w:b/>
          <w:bCs/>
          <w:szCs w:val="21"/>
        </w:rPr>
        <w:t>视频链接</w:t>
      </w:r>
      <w:r>
        <w:rPr>
          <w:rFonts w:hint="eastAsia" w:ascii="微软雅黑" w:hAnsi="微软雅黑" w:eastAsia="微软雅黑"/>
          <w:b/>
          <w:bCs/>
          <w:szCs w:val="21"/>
        </w:rPr>
        <w:t>：【累了困了喝东鹏特饮】</w:t>
      </w:r>
      <w:r>
        <w:rPr>
          <w:rFonts w:ascii="微软雅黑" w:hAnsi="微软雅黑" w:eastAsia="微软雅黑"/>
          <w:b/>
          <w:bCs/>
          <w:szCs w:val="21"/>
        </w:rPr>
        <w:t xml:space="preserve"> </w:t>
      </w:r>
      <w:r>
        <w:fldChar w:fldCharType="begin"/>
      </w:r>
      <w:r>
        <w:instrText xml:space="preserve"> HYPERLINK "https://www.bilibili.com/video/BV1Fd4y1J7GZ/?share_source=copy_web&amp;vd_source=25aa8c4306094d05a93120aba45a7496" </w:instrText>
      </w:r>
      <w:r>
        <w:fldChar w:fldCharType="separate"/>
      </w:r>
      <w:r>
        <w:rPr>
          <w:rStyle w:val="17"/>
          <w:rFonts w:ascii="微软雅黑" w:hAnsi="微软雅黑" w:eastAsia="微软雅黑"/>
          <w:szCs w:val="21"/>
        </w:rPr>
        <w:t>https://www.bilibili.com/video/BV1Fd4y1J7GZ/?share_source=copy_web&amp;vd_source=25aa8c4306094d05a93120aba45a7496</w:t>
      </w:r>
      <w:r>
        <w:rPr>
          <w:rStyle w:val="17"/>
          <w:rFonts w:ascii="微软雅黑" w:hAnsi="微软雅黑" w:eastAsia="微软雅黑"/>
          <w:szCs w:val="21"/>
        </w:rPr>
        <w:fldChar w:fldCharType="end"/>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s="宋体"/>
          <w:color w:val="0D0D0D" w:themeColor="text1" w:themeTint="F2"/>
          <w:kern w:val="0"/>
          <w:szCs w:val="21"/>
          <w14:textFill>
            <w14:solidFill>
              <w14:schemeClr w14:val="tx1">
                <w14:lumMod w14:val="95000"/>
                <w14:lumOff w14:val="5000"/>
              </w14:schemeClr>
            </w14:solidFill>
          </w14:textFill>
        </w:rPr>
      </w:pPr>
      <w:r>
        <w:rPr>
          <w:rFonts w:hint="eastAsia" w:ascii="微软雅黑" w:hAnsi="微软雅黑" w:eastAsia="微软雅黑" w:cs="宋体"/>
          <w:b/>
          <w:color w:val="0D0D0D" w:themeColor="text1" w:themeTint="F2"/>
          <w:kern w:val="0"/>
          <w:szCs w:val="21"/>
          <w14:textFill>
            <w14:solidFill>
              <w14:schemeClr w14:val="tx1">
                <w14:lumMod w14:val="95000"/>
                <w14:lumOff w14:val="5000"/>
              </w14:schemeClr>
            </w14:solidFill>
          </w14:textFill>
        </w:rPr>
        <w:t>东鹏特饮结合品牌及产品特性，在2022年世界杯期间，通过在电梯视频媒体上播放以世界杯场景结合的广告片，与世界杯建立强关联。</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同时，东鹏特饮利用了</w:t>
      </w:r>
      <w:r>
        <w:rPr>
          <w:rFonts w:hint="eastAsia" w:ascii="微软雅黑" w:hAnsi="微软雅黑" w:eastAsia="微软雅黑"/>
          <w:b/>
          <w:color w:val="0D0D0D" w:themeColor="text1" w:themeTint="F2"/>
          <w:szCs w:val="21"/>
          <w14:textFill>
            <w14:solidFill>
              <w14:schemeClr w14:val="tx1">
                <w14:lumMod w14:val="95000"/>
                <w14:lumOff w14:val="5000"/>
              </w14:schemeClr>
            </w14:solidFill>
          </w14:textFill>
        </w:rPr>
        <w:t>电梯媒体广告商的实时分发功能</w:t>
      </w: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，在品牌广告曝光的同时，每天将赛事比分更新播报，展现给各大写字楼、公寓楼的球迷，不用熬夜看球也能第一时间知晓比分，实现内容与场景的高度融合，在抢占消费者心智资源之战中占据上风，</w:t>
      </w:r>
      <w:r>
        <w:rPr>
          <w:rFonts w:hint="eastAsia" w:ascii="微软雅黑" w:hAnsi="微软雅黑" w:eastAsia="微软雅黑" w:cs="宋体"/>
          <w:color w:val="0D0D0D" w:themeColor="text1" w:themeTint="F2"/>
          <w:kern w:val="0"/>
          <w:szCs w:val="21"/>
          <w14:textFill>
            <w14:solidFill>
              <w14:schemeClr w14:val="tx1">
                <w14:lumMod w14:val="95000"/>
                <w14:lumOff w14:val="5000"/>
              </w14:schemeClr>
            </w14:solidFill>
          </w14:textFill>
        </w:rPr>
        <w:t>提升品牌热度与好感，</w:t>
      </w: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增强消费者对产品的主动消费意识。</w:t>
      </w:r>
    </w:p>
    <w:p>
      <w:pPr>
        <w:pStyle w:val="22"/>
        <w:keepNext w:val="0"/>
        <w:keepLines w:val="0"/>
        <w:pageBreakBefore w:val="0"/>
        <w:widowControl w:val="0"/>
        <w:numPr>
          <w:ilvl w:val="0"/>
          <w:numId w:val="1"/>
        </w:numPr>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b/>
          <w:bCs/>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Cs w:val="21"/>
          <w14:textFill>
            <w14:solidFill>
              <w14:schemeClr w14:val="tx1">
                <w14:lumMod w14:val="95000"/>
                <w14:lumOff w14:val="5000"/>
              </w14:schemeClr>
            </w14:solidFill>
          </w14:textFill>
        </w:rPr>
        <w:t>策略核心：</w:t>
      </w:r>
    </w:p>
    <w:p>
      <w:pPr>
        <w:pStyle w:val="3"/>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b/>
          <w:bCs/>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东鹏特饮深耕体育营销，提前布局拍摄世界杯足球场景广告，将东鹏特饮年轻消费者的饮用场景与世界杯建立强关联。此外，当今的白领群体面临工作内卷、生活忙碌，也经常加班熬夜，对能力饮料的需求也日渐提升，白领群体是近年来东鹏特饮急需开拓的重要市场。</w:t>
      </w:r>
    </w:p>
    <w:p>
      <w:pPr>
        <w:pStyle w:val="3"/>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东鹏特饮洞悉消费者的媒体接触习惯，在世界杯比赛周期内，联合电梯媒体投放与世界杯场景结合的视频广告，实现对全国主流城市写字楼和公寓楼的覆盖，不仅可以借世界杯热潮提升品牌热度，更能拉近品牌与白领人群的距离，进一步拓展白领消费市场。</w:t>
      </w:r>
    </w:p>
    <w:p>
      <w:pPr>
        <w:pStyle w:val="3"/>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pPr>
      <w:r>
        <w:rPr>
          <w:rFonts w:ascii="微软雅黑" w:hAnsi="微软雅黑" w:eastAsia="微软雅黑"/>
          <w:color w:val="0D0D0D" w:themeColor="text1" w:themeTint="F2"/>
          <w:szCs w:val="21"/>
          <w14:textFill>
            <w14:solidFill>
              <w14:schemeClr w14:val="tx1">
                <w14:lumMod w14:val="95000"/>
                <w14:lumOff w14:val="5000"/>
              </w14:schemeClr>
            </w14:solidFill>
          </w14:textFill>
        </w:rPr>
        <w:t>在以上的营销目标前提下，结合电梯媒体的特性制定营销策略。此次重点选择电梯电视媒体，</w:t>
      </w:r>
      <w:r>
        <w:rPr>
          <w:rFonts w:ascii="微软雅黑" w:hAnsi="微软雅黑" w:eastAsia="微软雅黑"/>
          <w:b/>
          <w:color w:val="0D0D0D" w:themeColor="text1" w:themeTint="F2"/>
          <w:szCs w:val="21"/>
          <w14:textFill>
            <w14:solidFill>
              <w14:schemeClr w14:val="tx1">
                <w14:lumMod w14:val="95000"/>
                <w14:lumOff w14:val="5000"/>
              </w14:schemeClr>
            </w14:solidFill>
          </w14:textFill>
        </w:rPr>
        <w:t>利用分屏特点，上屏展示品牌广告，下屏增加品牌互动</w:t>
      </w:r>
      <w:r>
        <w:rPr>
          <w:rFonts w:ascii="微软雅黑" w:hAnsi="微软雅黑" w:eastAsia="微软雅黑"/>
          <w:color w:val="0D0D0D" w:themeColor="text1" w:themeTint="F2"/>
          <w:szCs w:val="21"/>
          <w14:textFill>
            <w14:solidFill>
              <w14:schemeClr w14:val="tx1">
                <w14:lumMod w14:val="95000"/>
                <w14:lumOff w14:val="5000"/>
              </w14:schemeClr>
            </w14:solidFill>
          </w14:textFill>
        </w:rPr>
        <w:t>。</w:t>
      </w:r>
    </w:p>
    <w:p>
      <w:pPr>
        <w:pStyle w:val="3"/>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color w:val="0D0D0D" w:themeColor="text1" w:themeTint="F2"/>
          <w:szCs w:val="21"/>
          <w14:textFill>
            <w14:solidFill>
              <w14:schemeClr w14:val="tx1">
                <w14:lumMod w14:val="95000"/>
                <w14:lumOff w14:val="5000"/>
              </w14:schemeClr>
            </w14:solidFill>
          </w14:textFill>
        </w:rPr>
      </w:pPr>
      <w:r>
        <w:rPr>
          <w:b/>
          <w:color w:val="0D0D0D" w:themeColor="text1" w:themeTint="F2"/>
          <w:szCs w:val="21"/>
          <w14:textFill>
            <w14:solidFill>
              <w14:schemeClr w14:val="tx1">
                <w14:lumMod w14:val="95000"/>
                <w14:lumOff w14:val="5000"/>
              </w14:schemeClr>
            </w14:solidFill>
          </w14:textFill>
        </w:rPr>
        <w:drawing>
          <wp:anchor distT="0" distB="0" distL="114300" distR="114300" simplePos="0" relativeHeight="251659264" behindDoc="0" locked="0" layoutInCell="1" allowOverlap="1">
            <wp:simplePos x="0" y="0"/>
            <wp:positionH relativeFrom="margin">
              <wp:posOffset>74930</wp:posOffset>
            </wp:positionH>
            <wp:positionV relativeFrom="paragraph">
              <wp:posOffset>514985</wp:posOffset>
            </wp:positionV>
            <wp:extent cx="5365750" cy="2571750"/>
            <wp:effectExtent l="0" t="0" r="635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65750" cy="2571750"/>
                    </a:xfrm>
                    <a:prstGeom prst="rect">
                      <a:avLst/>
                    </a:prstGeom>
                    <a:noFill/>
                  </pic:spPr>
                </pic:pic>
              </a:graphicData>
            </a:graphic>
          </wp:anchor>
        </w:drawing>
      </w: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电梯视频媒体播放的品牌广告创意，画面展现出球迷熬夜看球，一口东鹏特饮唤醒活力，满血复活，仿佛置身于比赛现场，感受赛场激情的场景，实现内容与场景的高度融合。</w:t>
      </w:r>
    </w:p>
    <w:p>
      <w:pPr>
        <w:pStyle w:val="3"/>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由于时差原因，卡塔尔世界杯的比赛均在北京时间下午18时至凌晨3时举行，熬夜看球成了球迷的必修课。东鹏特饮利用了</w:t>
      </w:r>
      <w:r>
        <w:rPr>
          <w:rFonts w:hint="eastAsia" w:ascii="微软雅黑" w:hAnsi="微软雅黑" w:eastAsia="微软雅黑"/>
          <w:b/>
          <w:color w:val="0D0D0D" w:themeColor="text1" w:themeTint="F2"/>
          <w:szCs w:val="21"/>
          <w14:textFill>
            <w14:solidFill>
              <w14:schemeClr w14:val="tx1">
                <w14:lumMod w14:val="95000"/>
                <w14:lumOff w14:val="5000"/>
              </w14:schemeClr>
            </w14:solidFill>
          </w14:textFill>
        </w:rPr>
        <w:t>电梯媒体广告商的实时分发功能</w:t>
      </w: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，每天早上将赛事比分更新播报，展现给各大写字楼、公寓楼的球迷，不用熬夜看球也能第一时间知晓比分。</w:t>
      </w:r>
    </w:p>
    <w:p>
      <w:pPr>
        <w:pStyle w:val="22"/>
        <w:keepNext w:val="0"/>
        <w:keepLines w:val="0"/>
        <w:pageBreakBefore w:val="0"/>
        <w:widowControl w:val="0"/>
        <w:numPr>
          <w:ilvl w:val="0"/>
          <w:numId w:val="1"/>
        </w:numPr>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b/>
          <w:bCs/>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Cs w:val="21"/>
          <w14:textFill>
            <w14:solidFill>
              <w14:schemeClr w14:val="tx1">
                <w14:lumMod w14:val="95000"/>
                <w14:lumOff w14:val="5000"/>
              </w14:schemeClr>
            </w14:solidFill>
          </w14:textFill>
        </w:rPr>
        <w:t>执行亮点：</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rPr>
        <w:t>东鹏特饮洞悉消费者的媒体接触习惯以及熬夜看球的痛点，选择主流消费人群每天必经的场景——写字楼和公寓楼，在世界杯比赛周期内通过投放电梯媒体广告，实现对全国65座城市的公寓楼、写字楼主流消费者的覆盖，具体投放情况如下：</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rPr>
        <w:t>投放时间：2022年11月21日至2022年12月18日</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rPr>
        <w:t>投放媒体：电梯电视视频广告</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rPr>
        <w:t>投放内容：品牌广告+卡塔尔每日战报</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rPr>
        <w:t>投放频次：每天240次曝光</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rPr>
        <w:t>投放城市：全国65个重点城市</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rPr>
        <w:t>投放费用：约1200万</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color w:val="0D0D0D" w:themeColor="text1" w:themeTint="F2"/>
          <w:szCs w:val="21"/>
          <w14:textFill>
            <w14:solidFill>
              <w14:schemeClr w14:val="tx1">
                <w14:lumMod w14:val="95000"/>
                <w14:lumOff w14:val="5000"/>
              </w14:schemeClr>
            </w14:solidFill>
          </w14:textFill>
        </w:rPr>
      </w:pPr>
      <w:r>
        <w:rPr>
          <w:rFonts w:ascii="微软雅黑" w:hAnsi="微软雅黑" w:eastAsia="微软雅黑"/>
          <w:color w:val="0D0D0D" w:themeColor="text1" w:themeTint="F2"/>
          <w:szCs w:val="21"/>
          <w14:textFill>
            <w14:solidFill>
              <w14:schemeClr w14:val="tx1">
                <w14:lumMod w14:val="95000"/>
                <w14:lumOff w14:val="5000"/>
              </w14:schemeClr>
            </w14:solidFill>
          </w14:textFill>
        </w:rPr>
        <w:drawing>
          <wp:inline distT="0" distB="0" distL="114300" distR="114300">
            <wp:extent cx="5492750" cy="33464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92750" cy="3346450"/>
                    </a:xfrm>
                    <a:prstGeom prst="rect">
                      <a:avLst/>
                    </a:prstGeom>
                    <a:noFill/>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rPr>
        <w:t>电梯电视屏幕分为上下屏两个模块，东鹏特饮充分利用媒体硬件设备的特性，</w:t>
      </w:r>
      <w:r>
        <w:rPr>
          <w:rFonts w:hint="eastAsia" w:ascii="微软雅黑" w:hAnsi="微软雅黑" w:eastAsia="微软雅黑"/>
          <w:b/>
        </w:rPr>
        <w:t>上屏播放品牌与世界杯场景结合的视频广告片，下屏播放每日更新的卡塔尔战报比分。</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b/>
        </w:rPr>
        <w:t>上屏：</w:t>
      </w:r>
      <w:r>
        <w:rPr>
          <w:rFonts w:hint="eastAsia" w:ascii="微软雅黑" w:hAnsi="微软雅黑" w:eastAsia="微软雅黑"/>
        </w:rPr>
        <w:t>播放的品牌广告创意，画面展现出球迷熬夜看球，一口东鹏特饮唤醒活力，满血复活，仿佛置身于比赛现场，感受赛场激情的场景，实现内容与场景的高度融合；而背景音乐选用了“球迷之歌”《Ole！Ole！We Are The Champion》，与“我累我困”的广告语巧妙融合，使消费者每次路过电梯口听到熟悉的旋律都会分外关注广告内容。</w:t>
      </w:r>
    </w:p>
    <w:p>
      <w:pPr>
        <w:pStyle w:val="22"/>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rPr>
      </w:pPr>
      <w:r>
        <w:rPr>
          <w:rFonts w:hint="eastAsia" w:ascii="微软雅黑" w:hAnsi="微软雅黑" w:eastAsia="微软雅黑"/>
          <w:b/>
        </w:rPr>
        <w:t>下屏：</w:t>
      </w:r>
      <w:r>
        <w:rPr>
          <w:rFonts w:hint="eastAsia" w:ascii="微软雅黑" w:hAnsi="微软雅黑" w:eastAsia="微软雅黑"/>
        </w:rPr>
        <w:t>利用电梯媒体广告商的实时分发功能，在品牌广告的曝光的同时，每天早上将赛事比分更新播报，展现给各大写字楼、公寓楼的球迷，不用熬夜看球也能第一时间知晓比分。</w:t>
      </w:r>
    </w:p>
    <w:p>
      <w:pPr>
        <w:pStyle w:val="3"/>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rPr>
          <w:rFonts w:ascii="微软雅黑" w:hAnsi="微软雅黑" w:eastAsia="微软雅黑"/>
          <w:b/>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东鹏特饮“熬夜看球 累了困了 喝东鹏特饮”的口号在这波刷屏式的广告中恰如其分地出现，将“提神醒脑”的产品功能标签深刻打入熬夜观看比赛的球迷们的心智，建立起鲜明的品牌形象。</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rPr>
          <w:rFonts w:ascii="微软雅黑" w:hAnsi="微软雅黑" w:eastAsia="微软雅黑"/>
        </w:rPr>
      </w:pPr>
      <w:r>
        <w:rPr>
          <w:rFonts w:hint="eastAsia" w:ascii="微软雅黑" w:hAnsi="微软雅黑" w:eastAsia="微软雅黑"/>
        </w:rPr>
        <w:t>伴随着品牌广告的高频刷屏，让消费者对东鹏特饮“能量激活”、“抗疲劳”的印象加深，在抢占消费者心智资源之战中占据上风，同时结合熬夜看球场景，增强消费者对产品的主动消费意识。</w:t>
      </w:r>
    </w:p>
    <w:p>
      <w:pPr>
        <w:pStyle w:val="22"/>
        <w:keepNext w:val="0"/>
        <w:keepLines w:val="0"/>
        <w:pageBreakBefore w:val="0"/>
        <w:widowControl w:val="0"/>
        <w:numPr>
          <w:ilvl w:val="0"/>
          <w:numId w:val="1"/>
        </w:numPr>
        <w:kinsoku/>
        <w:wordWrap/>
        <w:overflowPunct/>
        <w:topLinePunct w:val="0"/>
        <w:autoSpaceDE/>
        <w:autoSpaceDN/>
        <w:bidi w:val="0"/>
        <w:adjustRightInd/>
        <w:snapToGrid/>
        <w:spacing w:before="100" w:beforeAutospacing="1" w:after="100" w:afterAutospacing="1"/>
        <w:ind w:left="0" w:firstLine="0" w:firstLineChars="0"/>
        <w:jc w:val="left"/>
        <w:rPr>
          <w:rFonts w:ascii="微软雅黑" w:hAnsi="微软雅黑" w:eastAsia="微软雅黑"/>
          <w:b/>
          <w:szCs w:val="21"/>
        </w:rPr>
      </w:pPr>
      <w:r>
        <w:rPr>
          <w:rFonts w:hint="eastAsia" w:ascii="微软雅黑" w:hAnsi="微软雅黑" w:eastAsia="微软雅黑"/>
          <w:b/>
          <w:szCs w:val="21"/>
        </w:rPr>
        <w:t>营销效果：</w:t>
      </w:r>
    </w:p>
    <w:p>
      <w:pPr>
        <w:pStyle w:val="22"/>
        <w:keepNext w:val="0"/>
        <w:keepLines w:val="0"/>
        <w:pageBreakBefore w:val="0"/>
        <w:widowControl w:val="0"/>
        <w:numPr>
          <w:numId w:val="0"/>
        </w:numPr>
        <w:kinsoku/>
        <w:wordWrap/>
        <w:overflowPunct/>
        <w:topLinePunct w:val="0"/>
        <w:autoSpaceDE/>
        <w:autoSpaceDN/>
        <w:bidi w:val="0"/>
        <w:adjustRightInd/>
        <w:snapToGrid/>
        <w:spacing w:before="100" w:beforeAutospacing="1" w:after="100" w:afterAutospacing="1"/>
        <w:ind w:leftChars="0"/>
        <w:jc w:val="center"/>
        <w:rPr>
          <w:rFonts w:ascii="微软雅黑" w:hAnsi="微软雅黑" w:eastAsia="微软雅黑"/>
          <w:b/>
          <w:szCs w:val="21"/>
        </w:rPr>
      </w:pPr>
      <w:r>
        <w:drawing>
          <wp:inline distT="0" distB="0" distL="114300" distR="114300">
            <wp:extent cx="5162550" cy="26384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162550" cy="2638425"/>
                    </a:xfrm>
                    <a:prstGeom prst="rect">
                      <a:avLst/>
                    </a:prstGeom>
                    <a:noFill/>
                    <a:ln>
                      <a:noFill/>
                    </a:ln>
                  </pic:spPr>
                </pic:pic>
              </a:graphicData>
            </a:graphic>
          </wp:inline>
        </w:drawing>
      </w:r>
      <w:bookmarkStart w:id="0" w:name="_GoBack"/>
      <w:bookmarkEnd w:id="0"/>
    </w:p>
    <w:p>
      <w:pPr>
        <w:pStyle w:val="3"/>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rPr>
          <w:rFonts w:ascii="微软雅黑" w:hAnsi="微软雅黑" w:eastAsia="微软雅黑" w:cs="Times New Roman"/>
          <w:bCs/>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东鹏特饮通过电梯媒体，实现对主流人群高频覆盖，本次电梯媒体投放总触达</w:t>
      </w:r>
      <w:r>
        <w:rPr>
          <w:rFonts w:hint="eastAsia" w:ascii="微软雅黑" w:hAnsi="微软雅黑" w:eastAsia="微软雅黑" w:cs="Times New Roman"/>
          <w:b/>
          <w:color w:val="0D0D0D" w:themeColor="text1" w:themeTint="F2"/>
          <w:szCs w:val="21"/>
          <w14:textFill>
            <w14:solidFill>
              <w14:schemeClr w14:val="tx1">
                <w14:lumMod w14:val="95000"/>
                <w14:lumOff w14:val="5000"/>
              </w14:schemeClr>
            </w14:solidFill>
          </w14:textFill>
        </w:rPr>
        <w:t>9926万</w:t>
      </w: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人口，累积曝光</w:t>
      </w:r>
      <w:r>
        <w:rPr>
          <w:rFonts w:hint="eastAsia" w:ascii="微软雅黑" w:hAnsi="微软雅黑" w:eastAsia="微软雅黑" w:cs="Times New Roman"/>
          <w:b/>
          <w:color w:val="0D0D0D" w:themeColor="text1" w:themeTint="F2"/>
          <w:szCs w:val="21"/>
          <w14:textFill>
            <w14:solidFill>
              <w14:schemeClr w14:val="tx1">
                <w14:lumMod w14:val="95000"/>
                <w14:lumOff w14:val="5000"/>
              </w14:schemeClr>
            </w14:solidFill>
          </w14:textFill>
        </w:rPr>
        <w:t>60亿+</w:t>
      </w: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人次。</w:t>
      </w:r>
    </w:p>
    <w:p>
      <w:pPr>
        <w:pStyle w:val="3"/>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rPr>
          <w:rFonts w:cs="Times New Roman"/>
          <w:bCs/>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2022年世界杯广告播出首日（11月21日），东鹏特饮的微信指数增长至</w:t>
      </w:r>
      <w:r>
        <w:rPr>
          <w:rFonts w:hint="eastAsia" w:ascii="微软雅黑" w:hAnsi="微软雅黑" w:eastAsia="微软雅黑" w:cs="Times New Roman"/>
          <w:b/>
          <w:color w:val="0D0D0D" w:themeColor="text1" w:themeTint="F2"/>
          <w:szCs w:val="21"/>
          <w14:textFill>
            <w14:solidFill>
              <w14:schemeClr w14:val="tx1">
                <w14:lumMod w14:val="95000"/>
                <w14:lumOff w14:val="5000"/>
              </w14:schemeClr>
            </w14:solidFill>
          </w14:textFill>
        </w:rPr>
        <w:t>1,563,601</w:t>
      </w: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，对比投放前峰值增长</w:t>
      </w:r>
      <w:r>
        <w:rPr>
          <w:rFonts w:hint="eastAsia" w:ascii="微软雅黑" w:hAnsi="微软雅黑" w:eastAsia="微软雅黑" w:cs="Times New Roman"/>
          <w:b/>
          <w:color w:val="0D0D0D" w:themeColor="text1" w:themeTint="F2"/>
          <w:szCs w:val="21"/>
          <w14:textFill>
            <w14:solidFill>
              <w14:schemeClr w14:val="tx1">
                <w14:lumMod w14:val="95000"/>
                <w14:lumOff w14:val="5000"/>
              </w14:schemeClr>
            </w14:solidFill>
          </w14:textFill>
        </w:rPr>
        <w:t>150%</w:t>
      </w: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；1</w:t>
      </w:r>
      <w:r>
        <w:rPr>
          <w:rFonts w:ascii="微软雅黑" w:hAnsi="微软雅黑" w:eastAsia="微软雅黑" w:cs="Times New Roman"/>
          <w:color w:val="0D0D0D" w:themeColor="text1" w:themeTint="F2"/>
          <w:szCs w:val="21"/>
          <w14:textFill>
            <w14:solidFill>
              <w14:schemeClr w14:val="tx1">
                <w14:lumMod w14:val="95000"/>
                <w14:lumOff w14:val="5000"/>
              </w14:schemeClr>
            </w14:solidFill>
          </w14:textFill>
        </w:rPr>
        <w:t>2</w:t>
      </w: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月</w:t>
      </w:r>
      <w:r>
        <w:rPr>
          <w:rFonts w:ascii="微软雅黑" w:hAnsi="微软雅黑" w:eastAsia="微软雅黑" w:cs="Times New Roman"/>
          <w:color w:val="0D0D0D" w:themeColor="text1" w:themeTint="F2"/>
          <w:szCs w:val="21"/>
          <w14:textFill>
            <w14:solidFill>
              <w14:schemeClr w14:val="tx1">
                <w14:lumMod w14:val="95000"/>
                <w14:lumOff w14:val="5000"/>
              </w14:schemeClr>
            </w14:solidFill>
          </w14:textFill>
        </w:rPr>
        <w:t>17</w:t>
      </w: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日微信指数高达</w:t>
      </w:r>
      <w:r>
        <w:rPr>
          <w:rFonts w:hint="eastAsia" w:ascii="微软雅黑" w:hAnsi="微软雅黑" w:eastAsia="微软雅黑" w:cs="Times New Roman"/>
          <w:b/>
          <w:color w:val="0D0D0D" w:themeColor="text1" w:themeTint="F2"/>
          <w:szCs w:val="21"/>
          <w14:textFill>
            <w14:solidFill>
              <w14:schemeClr w14:val="tx1">
                <w14:lumMod w14:val="95000"/>
                <w14:lumOff w14:val="5000"/>
              </w14:schemeClr>
            </w14:solidFill>
          </w14:textFill>
        </w:rPr>
        <w:t>5,358,474</w:t>
      </w: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，对比投放前峰值增长</w:t>
      </w:r>
      <w:r>
        <w:rPr>
          <w:rFonts w:hint="eastAsia" w:ascii="微软雅黑" w:hAnsi="微软雅黑" w:eastAsia="微软雅黑" w:cs="Times New Roman"/>
          <w:b/>
          <w:color w:val="0D0D0D" w:themeColor="text1" w:themeTint="F2"/>
          <w:szCs w:val="21"/>
          <w14:textFill>
            <w14:solidFill>
              <w14:schemeClr w14:val="tx1">
                <w14:lumMod w14:val="95000"/>
                <w14:lumOff w14:val="5000"/>
              </w14:schemeClr>
            </w14:solidFill>
          </w14:textFill>
        </w:rPr>
        <w:t>343%</w:t>
      </w:r>
      <w:r>
        <w:rPr>
          <w:rFonts w:hint="eastAsia" w:ascii="微软雅黑" w:hAnsi="微软雅黑" w:eastAsia="微软雅黑" w:cs="Times New Roman"/>
          <w:color w:val="0D0D0D" w:themeColor="text1" w:themeTint="F2"/>
          <w:szCs w:val="21"/>
          <w14:textFill>
            <w14:solidFill>
              <w14:schemeClr w14:val="tx1">
                <w14:lumMod w14:val="95000"/>
                <w14:lumOff w14:val="5000"/>
              </w14:schemeClr>
            </w14:solidFill>
          </w14:textFill>
        </w:rPr>
        <w:t>。</w:t>
      </w:r>
    </w:p>
    <w:sectPr>
      <w:headerReference r:id="rId3" w:type="default"/>
      <w:footerReference r:id="rId4" w:type="default"/>
      <w:footerReference r:id="rId5"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5"/>
      </w:rPr>
    </w:pP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5"/>
      </w:rPr>
    </w:pPr>
    <w:r>
      <w:fldChar w:fldCharType="begin"/>
    </w:r>
    <w:r>
      <w:rPr>
        <w:rStyle w:val="15"/>
      </w:rPr>
      <w:instrText xml:space="preserve">PAGE  </w:instrText>
    </w:r>
    <w:r>
      <w:fldChar w:fldCharType="separate"/>
    </w:r>
    <w:r>
      <w:rPr>
        <w:rStyle w:val="15"/>
      </w:rPr>
      <w:t>1</w:t>
    </w:r>
    <w:r>
      <w:fldChar w:fldCharType="end"/>
    </w:r>
  </w:p>
  <w:p>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97141A"/>
    <w:multiLevelType w:val="multilevel"/>
    <w:tmpl w:val="6D97141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0OGU4OWUyMzhmZTI5N2I5YWVhZjVjNzgxYWMyZmQifQ=="/>
  </w:docVars>
  <w:rsids>
    <w:rsidRoot w:val="00172A27"/>
    <w:rsid w:val="0000069D"/>
    <w:rsid w:val="0001090B"/>
    <w:rsid w:val="000134E5"/>
    <w:rsid w:val="000305FD"/>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C00C2"/>
    <w:rsid w:val="000D05FE"/>
    <w:rsid w:val="000E18A5"/>
    <w:rsid w:val="000E2A45"/>
    <w:rsid w:val="000F5168"/>
    <w:rsid w:val="000F63B2"/>
    <w:rsid w:val="00105CBD"/>
    <w:rsid w:val="00110BD1"/>
    <w:rsid w:val="00114DD5"/>
    <w:rsid w:val="001265C9"/>
    <w:rsid w:val="00131A61"/>
    <w:rsid w:val="00144C4B"/>
    <w:rsid w:val="00146A94"/>
    <w:rsid w:val="001540DA"/>
    <w:rsid w:val="001562B1"/>
    <w:rsid w:val="0016260F"/>
    <w:rsid w:val="001628EA"/>
    <w:rsid w:val="00172A27"/>
    <w:rsid w:val="001731D8"/>
    <w:rsid w:val="00176817"/>
    <w:rsid w:val="00177F05"/>
    <w:rsid w:val="00180451"/>
    <w:rsid w:val="00180E4E"/>
    <w:rsid w:val="001827F4"/>
    <w:rsid w:val="00183D4F"/>
    <w:rsid w:val="00184006"/>
    <w:rsid w:val="0018632F"/>
    <w:rsid w:val="00192A5B"/>
    <w:rsid w:val="00192D54"/>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23880"/>
    <w:rsid w:val="0023082E"/>
    <w:rsid w:val="00232662"/>
    <w:rsid w:val="00235FF3"/>
    <w:rsid w:val="00242F41"/>
    <w:rsid w:val="00243D7F"/>
    <w:rsid w:val="00250580"/>
    <w:rsid w:val="00252186"/>
    <w:rsid w:val="00253125"/>
    <w:rsid w:val="00255B1F"/>
    <w:rsid w:val="002707E7"/>
    <w:rsid w:val="00270EF0"/>
    <w:rsid w:val="002712AF"/>
    <w:rsid w:val="00274F8A"/>
    <w:rsid w:val="00290073"/>
    <w:rsid w:val="00290500"/>
    <w:rsid w:val="002929AD"/>
    <w:rsid w:val="0029434E"/>
    <w:rsid w:val="002A004E"/>
    <w:rsid w:val="002A636C"/>
    <w:rsid w:val="002B0CDA"/>
    <w:rsid w:val="002B285F"/>
    <w:rsid w:val="002E436F"/>
    <w:rsid w:val="002E5914"/>
    <w:rsid w:val="002F2AF3"/>
    <w:rsid w:val="002F3574"/>
    <w:rsid w:val="002F7E7A"/>
    <w:rsid w:val="00300052"/>
    <w:rsid w:val="003056B8"/>
    <w:rsid w:val="00310C0E"/>
    <w:rsid w:val="00311DCD"/>
    <w:rsid w:val="003121E8"/>
    <w:rsid w:val="00317BD4"/>
    <w:rsid w:val="00320B24"/>
    <w:rsid w:val="00334623"/>
    <w:rsid w:val="00361FEC"/>
    <w:rsid w:val="00362043"/>
    <w:rsid w:val="00365EA3"/>
    <w:rsid w:val="00370F49"/>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3F7D54"/>
    <w:rsid w:val="00404490"/>
    <w:rsid w:val="00407FAE"/>
    <w:rsid w:val="004109EA"/>
    <w:rsid w:val="004133F5"/>
    <w:rsid w:val="00423117"/>
    <w:rsid w:val="00426569"/>
    <w:rsid w:val="00426CB7"/>
    <w:rsid w:val="00435325"/>
    <w:rsid w:val="00443C7A"/>
    <w:rsid w:val="004452BA"/>
    <w:rsid w:val="00450E65"/>
    <w:rsid w:val="00451221"/>
    <w:rsid w:val="004555F7"/>
    <w:rsid w:val="004579BA"/>
    <w:rsid w:val="00462CFD"/>
    <w:rsid w:val="00465CC4"/>
    <w:rsid w:val="00470C6C"/>
    <w:rsid w:val="0048122B"/>
    <w:rsid w:val="00484916"/>
    <w:rsid w:val="004861A7"/>
    <w:rsid w:val="0048758B"/>
    <w:rsid w:val="00495AA2"/>
    <w:rsid w:val="004A31D6"/>
    <w:rsid w:val="004A4904"/>
    <w:rsid w:val="004C539E"/>
    <w:rsid w:val="004D3EF9"/>
    <w:rsid w:val="004D53A9"/>
    <w:rsid w:val="004E459E"/>
    <w:rsid w:val="004E704D"/>
    <w:rsid w:val="004F1399"/>
    <w:rsid w:val="004F63B1"/>
    <w:rsid w:val="004F7523"/>
    <w:rsid w:val="005002D8"/>
    <w:rsid w:val="005034DB"/>
    <w:rsid w:val="00504924"/>
    <w:rsid w:val="0052080E"/>
    <w:rsid w:val="005344CB"/>
    <w:rsid w:val="00535A1F"/>
    <w:rsid w:val="005479C8"/>
    <w:rsid w:val="005504E6"/>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5D19"/>
    <w:rsid w:val="005D614B"/>
    <w:rsid w:val="005D77D7"/>
    <w:rsid w:val="005E4E84"/>
    <w:rsid w:val="005F2787"/>
    <w:rsid w:val="006126FE"/>
    <w:rsid w:val="00613CE9"/>
    <w:rsid w:val="00624733"/>
    <w:rsid w:val="00632502"/>
    <w:rsid w:val="00644994"/>
    <w:rsid w:val="00650F34"/>
    <w:rsid w:val="0065606B"/>
    <w:rsid w:val="0065759C"/>
    <w:rsid w:val="00661A8D"/>
    <w:rsid w:val="00664649"/>
    <w:rsid w:val="00664D44"/>
    <w:rsid w:val="006707FE"/>
    <w:rsid w:val="00671B36"/>
    <w:rsid w:val="00693C3F"/>
    <w:rsid w:val="006955F5"/>
    <w:rsid w:val="0069582B"/>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71D43"/>
    <w:rsid w:val="00787A78"/>
    <w:rsid w:val="00795109"/>
    <w:rsid w:val="007959EE"/>
    <w:rsid w:val="007A0451"/>
    <w:rsid w:val="007B2D27"/>
    <w:rsid w:val="007B5A52"/>
    <w:rsid w:val="007B61C2"/>
    <w:rsid w:val="007C0828"/>
    <w:rsid w:val="007C3F70"/>
    <w:rsid w:val="007C4C7A"/>
    <w:rsid w:val="007D5451"/>
    <w:rsid w:val="007D76B6"/>
    <w:rsid w:val="007F6422"/>
    <w:rsid w:val="00813515"/>
    <w:rsid w:val="008159A4"/>
    <w:rsid w:val="00820C09"/>
    <w:rsid w:val="00822325"/>
    <w:rsid w:val="0082426A"/>
    <w:rsid w:val="00825032"/>
    <w:rsid w:val="0083597A"/>
    <w:rsid w:val="0085738D"/>
    <w:rsid w:val="008612D4"/>
    <w:rsid w:val="008674D7"/>
    <w:rsid w:val="008776C3"/>
    <w:rsid w:val="00880022"/>
    <w:rsid w:val="00891CAC"/>
    <w:rsid w:val="008A1E2D"/>
    <w:rsid w:val="008A2FC4"/>
    <w:rsid w:val="008A5B50"/>
    <w:rsid w:val="008A7045"/>
    <w:rsid w:val="008C2693"/>
    <w:rsid w:val="008C7B43"/>
    <w:rsid w:val="008D7812"/>
    <w:rsid w:val="008F2CAF"/>
    <w:rsid w:val="00902EA3"/>
    <w:rsid w:val="009037E1"/>
    <w:rsid w:val="0090431A"/>
    <w:rsid w:val="009076EA"/>
    <w:rsid w:val="00911F7D"/>
    <w:rsid w:val="00913B2E"/>
    <w:rsid w:val="00915DD8"/>
    <w:rsid w:val="009205FC"/>
    <w:rsid w:val="00921E57"/>
    <w:rsid w:val="00932225"/>
    <w:rsid w:val="00932353"/>
    <w:rsid w:val="00941499"/>
    <w:rsid w:val="00953993"/>
    <w:rsid w:val="00962DEF"/>
    <w:rsid w:val="00967E3E"/>
    <w:rsid w:val="00973570"/>
    <w:rsid w:val="0097433A"/>
    <w:rsid w:val="0098226A"/>
    <w:rsid w:val="009823A9"/>
    <w:rsid w:val="00983853"/>
    <w:rsid w:val="009849FB"/>
    <w:rsid w:val="00993388"/>
    <w:rsid w:val="009A5A66"/>
    <w:rsid w:val="009A7E78"/>
    <w:rsid w:val="009B0289"/>
    <w:rsid w:val="009B0E2C"/>
    <w:rsid w:val="009B1B5B"/>
    <w:rsid w:val="009C29B7"/>
    <w:rsid w:val="009C6E37"/>
    <w:rsid w:val="009D053D"/>
    <w:rsid w:val="009D3925"/>
    <w:rsid w:val="009E0326"/>
    <w:rsid w:val="009E0D6A"/>
    <w:rsid w:val="009E47E6"/>
    <w:rsid w:val="009E573B"/>
    <w:rsid w:val="009E6D94"/>
    <w:rsid w:val="009F7D3B"/>
    <w:rsid w:val="00A03263"/>
    <w:rsid w:val="00A13235"/>
    <w:rsid w:val="00A17315"/>
    <w:rsid w:val="00A24029"/>
    <w:rsid w:val="00A26AE6"/>
    <w:rsid w:val="00A27228"/>
    <w:rsid w:val="00A35C7F"/>
    <w:rsid w:val="00A361A1"/>
    <w:rsid w:val="00A3778A"/>
    <w:rsid w:val="00A37970"/>
    <w:rsid w:val="00A43840"/>
    <w:rsid w:val="00A52343"/>
    <w:rsid w:val="00A54EAE"/>
    <w:rsid w:val="00A56181"/>
    <w:rsid w:val="00A57B51"/>
    <w:rsid w:val="00A6099E"/>
    <w:rsid w:val="00A631B1"/>
    <w:rsid w:val="00A65856"/>
    <w:rsid w:val="00A71293"/>
    <w:rsid w:val="00A71CB7"/>
    <w:rsid w:val="00A72FFF"/>
    <w:rsid w:val="00A73B4E"/>
    <w:rsid w:val="00A74660"/>
    <w:rsid w:val="00A76411"/>
    <w:rsid w:val="00A849B8"/>
    <w:rsid w:val="00A86FCA"/>
    <w:rsid w:val="00AB4428"/>
    <w:rsid w:val="00AB5A65"/>
    <w:rsid w:val="00AC6E5A"/>
    <w:rsid w:val="00AD1E2C"/>
    <w:rsid w:val="00AE7F81"/>
    <w:rsid w:val="00B03587"/>
    <w:rsid w:val="00B05B17"/>
    <w:rsid w:val="00B06504"/>
    <w:rsid w:val="00B17D7D"/>
    <w:rsid w:val="00B33BB2"/>
    <w:rsid w:val="00B35B50"/>
    <w:rsid w:val="00B36BD0"/>
    <w:rsid w:val="00B413D5"/>
    <w:rsid w:val="00B54EBC"/>
    <w:rsid w:val="00B65F3F"/>
    <w:rsid w:val="00B71E01"/>
    <w:rsid w:val="00B73D0B"/>
    <w:rsid w:val="00B81738"/>
    <w:rsid w:val="00B925C8"/>
    <w:rsid w:val="00B93BD6"/>
    <w:rsid w:val="00B93E3B"/>
    <w:rsid w:val="00BA0329"/>
    <w:rsid w:val="00BA7952"/>
    <w:rsid w:val="00BB0E07"/>
    <w:rsid w:val="00BB1A99"/>
    <w:rsid w:val="00BB7495"/>
    <w:rsid w:val="00BC0390"/>
    <w:rsid w:val="00BC1804"/>
    <w:rsid w:val="00BD17FA"/>
    <w:rsid w:val="00BD3543"/>
    <w:rsid w:val="00BD69A9"/>
    <w:rsid w:val="00BD741B"/>
    <w:rsid w:val="00BD7FD3"/>
    <w:rsid w:val="00BF54E7"/>
    <w:rsid w:val="00BF6726"/>
    <w:rsid w:val="00C00168"/>
    <w:rsid w:val="00C04E7B"/>
    <w:rsid w:val="00C078EC"/>
    <w:rsid w:val="00C11650"/>
    <w:rsid w:val="00C15625"/>
    <w:rsid w:val="00C171FB"/>
    <w:rsid w:val="00C27CF2"/>
    <w:rsid w:val="00C33C36"/>
    <w:rsid w:val="00C40E03"/>
    <w:rsid w:val="00C4793D"/>
    <w:rsid w:val="00C5015C"/>
    <w:rsid w:val="00C516C8"/>
    <w:rsid w:val="00C64FC2"/>
    <w:rsid w:val="00C653FB"/>
    <w:rsid w:val="00C657FA"/>
    <w:rsid w:val="00C65C31"/>
    <w:rsid w:val="00C73B42"/>
    <w:rsid w:val="00C84C6B"/>
    <w:rsid w:val="00C93159"/>
    <w:rsid w:val="00C9457C"/>
    <w:rsid w:val="00CA426C"/>
    <w:rsid w:val="00CA7DE6"/>
    <w:rsid w:val="00CB07CB"/>
    <w:rsid w:val="00CB2251"/>
    <w:rsid w:val="00CB2938"/>
    <w:rsid w:val="00CB462E"/>
    <w:rsid w:val="00CB4A74"/>
    <w:rsid w:val="00CC70FB"/>
    <w:rsid w:val="00CE5180"/>
    <w:rsid w:val="00CE55AC"/>
    <w:rsid w:val="00D131B0"/>
    <w:rsid w:val="00D13BC3"/>
    <w:rsid w:val="00D14F03"/>
    <w:rsid w:val="00D31009"/>
    <w:rsid w:val="00D33290"/>
    <w:rsid w:val="00D36F2D"/>
    <w:rsid w:val="00D409BB"/>
    <w:rsid w:val="00D448B5"/>
    <w:rsid w:val="00D5007A"/>
    <w:rsid w:val="00D51142"/>
    <w:rsid w:val="00D5598B"/>
    <w:rsid w:val="00D56BD0"/>
    <w:rsid w:val="00D63679"/>
    <w:rsid w:val="00D6725D"/>
    <w:rsid w:val="00D71A2E"/>
    <w:rsid w:val="00D731FC"/>
    <w:rsid w:val="00D80973"/>
    <w:rsid w:val="00D869C3"/>
    <w:rsid w:val="00DB3708"/>
    <w:rsid w:val="00DC1EA3"/>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57FE3"/>
    <w:rsid w:val="00E60CF7"/>
    <w:rsid w:val="00E60DF3"/>
    <w:rsid w:val="00E745ED"/>
    <w:rsid w:val="00E77E2B"/>
    <w:rsid w:val="00E8120B"/>
    <w:rsid w:val="00E846BA"/>
    <w:rsid w:val="00E84AE8"/>
    <w:rsid w:val="00E86C47"/>
    <w:rsid w:val="00E92CC7"/>
    <w:rsid w:val="00E93D45"/>
    <w:rsid w:val="00EA7A03"/>
    <w:rsid w:val="00EB2A18"/>
    <w:rsid w:val="00EB404E"/>
    <w:rsid w:val="00EC14B1"/>
    <w:rsid w:val="00EC6379"/>
    <w:rsid w:val="00ED507C"/>
    <w:rsid w:val="00EE38CD"/>
    <w:rsid w:val="00EE6D2C"/>
    <w:rsid w:val="00F02271"/>
    <w:rsid w:val="00F12133"/>
    <w:rsid w:val="00F22C99"/>
    <w:rsid w:val="00F312D8"/>
    <w:rsid w:val="00F35569"/>
    <w:rsid w:val="00F3618F"/>
    <w:rsid w:val="00F37C19"/>
    <w:rsid w:val="00F503C8"/>
    <w:rsid w:val="00F527EA"/>
    <w:rsid w:val="00F56689"/>
    <w:rsid w:val="00F5728E"/>
    <w:rsid w:val="00F853FB"/>
    <w:rsid w:val="00FA7EAD"/>
    <w:rsid w:val="00FB1A39"/>
    <w:rsid w:val="00FB3A22"/>
    <w:rsid w:val="00FB3C62"/>
    <w:rsid w:val="00FB6FEC"/>
    <w:rsid w:val="00FC3853"/>
    <w:rsid w:val="00FC53DE"/>
    <w:rsid w:val="00FC629F"/>
    <w:rsid w:val="00FC7652"/>
    <w:rsid w:val="00FD2192"/>
    <w:rsid w:val="00FD579B"/>
    <w:rsid w:val="00FD7838"/>
    <w:rsid w:val="00FE1360"/>
    <w:rsid w:val="00FE70B2"/>
    <w:rsid w:val="00FF5039"/>
    <w:rsid w:val="14BC5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8"/>
    <w:unhideWhenUsed/>
    <w:qFormat/>
    <w:uiPriority w:val="0"/>
    <w:pPr>
      <w:jc w:val="left"/>
    </w:pPr>
    <w:rPr>
      <w:rFonts w:ascii="宋体" w:hAnsi="宋体" w:cs="宋体"/>
      <w:szCs w:val="24"/>
    </w:rPr>
  </w:style>
  <w:style w:type="paragraph" w:styleId="4">
    <w:name w:val="Body Text Indent"/>
    <w:basedOn w:val="1"/>
    <w:qFormat/>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5">
    <w:name w:val="Plain Text"/>
    <w:basedOn w:val="1"/>
    <w:qFormat/>
    <w:uiPriority w:val="0"/>
    <w:pPr>
      <w:widowControl/>
      <w:jc w:val="left"/>
    </w:pPr>
    <w:rPr>
      <w:rFonts w:ascii="Arial" w:hAnsi="Arial"/>
      <w:kern w:val="0"/>
      <w:sz w:val="18"/>
    </w:rPr>
  </w:style>
  <w:style w:type="paragraph" w:styleId="6">
    <w:name w:val="Date"/>
    <w:basedOn w:val="1"/>
    <w:next w:val="1"/>
    <w:link w:val="27"/>
    <w:semiHidden/>
    <w:unhideWhenUsed/>
    <w:qFormat/>
    <w:uiPriority w:val="99"/>
    <w:pPr>
      <w:ind w:left="100" w:leftChars="2500"/>
    </w:pPr>
  </w:style>
  <w:style w:type="paragraph" w:styleId="7">
    <w:name w:val="Balloon Text"/>
    <w:basedOn w:val="1"/>
    <w:link w:val="26"/>
    <w:semiHidden/>
    <w:unhideWhenUsed/>
    <w:qFormat/>
    <w:uiPriority w:val="99"/>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styleId="10">
    <w:name w:val="Normal (Web)"/>
    <w:basedOn w:val="1"/>
    <w:uiPriority w:val="99"/>
    <w:pPr>
      <w:widowControl/>
      <w:spacing w:before="100" w:beforeAutospacing="1" w:after="100" w:afterAutospacing="1"/>
      <w:jc w:val="left"/>
    </w:pPr>
    <w:rPr>
      <w:rFonts w:ascii="宋体" w:hAnsi="宋体"/>
      <w:kern w:val="0"/>
      <w:sz w:val="24"/>
    </w:rPr>
  </w:style>
  <w:style w:type="paragraph" w:styleId="11">
    <w:name w:val="Title"/>
    <w:basedOn w:val="1"/>
    <w:link w:val="18"/>
    <w:qFormat/>
    <w:uiPriority w:val="0"/>
    <w:pPr>
      <w:widowControl/>
      <w:jc w:val="center"/>
    </w:pPr>
    <w:rPr>
      <w:b/>
      <w:sz w:val="28"/>
      <w:lang w:eastAsia="en-US"/>
    </w:rPr>
  </w:style>
  <w:style w:type="character" w:styleId="14">
    <w:name w:val="Strong"/>
    <w:basedOn w:val="13"/>
    <w:qFormat/>
    <w:uiPriority w:val="0"/>
    <w:rPr>
      <w:b/>
    </w:rPr>
  </w:style>
  <w:style w:type="character" w:styleId="15">
    <w:name w:val="page number"/>
    <w:basedOn w:val="13"/>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character" w:customStyle="1" w:styleId="18">
    <w:name w:val="标题 Char"/>
    <w:basedOn w:val="13"/>
    <w:link w:val="11"/>
    <w:uiPriority w:val="0"/>
    <w:rPr>
      <w:b/>
      <w:sz w:val="28"/>
      <w:lang w:eastAsia="en-US"/>
    </w:rPr>
  </w:style>
  <w:style w:type="character" w:customStyle="1" w:styleId="19">
    <w:name w:val="bottom1"/>
    <w:basedOn w:val="13"/>
    <w:qFormat/>
    <w:uiPriority w:val="0"/>
    <w:rPr>
      <w:color w:val="6E6E6E"/>
    </w:rPr>
  </w:style>
  <w:style w:type="character" w:customStyle="1" w:styleId="20">
    <w:name w:val="apple-converted-space"/>
    <w:basedOn w:val="13"/>
    <w:qFormat/>
    <w:uiPriority w:val="0"/>
  </w:style>
  <w:style w:type="character" w:customStyle="1" w:styleId="21">
    <w:name w:val="apple-style-span"/>
    <w:basedOn w:val="13"/>
    <w:uiPriority w:val="0"/>
  </w:style>
  <w:style w:type="paragraph" w:styleId="22">
    <w:name w:val="List Paragraph"/>
    <w:basedOn w:val="1"/>
    <w:qFormat/>
    <w:uiPriority w:val="34"/>
    <w:pPr>
      <w:ind w:firstLine="420" w:firstLineChars="200"/>
    </w:pPr>
    <w:rPr>
      <w:rFonts w:ascii="Calibri" w:hAnsi="Calibri"/>
    </w:rPr>
  </w:style>
  <w:style w:type="paragraph" w:customStyle="1" w:styleId="23">
    <w:name w:val="p0"/>
    <w:basedOn w:val="1"/>
    <w:qFormat/>
    <w:uiPriority w:val="0"/>
    <w:pPr>
      <w:widowControl/>
    </w:pPr>
    <w:rPr>
      <w:kern w:val="0"/>
    </w:rPr>
  </w:style>
  <w:style w:type="paragraph" w:customStyle="1" w:styleId="24">
    <w:name w:val="css"/>
    <w:basedOn w:val="1"/>
    <w:uiPriority w:val="0"/>
    <w:pPr>
      <w:widowControl/>
      <w:spacing w:before="100" w:beforeAutospacing="1" w:after="100" w:afterAutospacing="1"/>
      <w:jc w:val="left"/>
    </w:pPr>
    <w:rPr>
      <w:rFonts w:ascii="宋体" w:hAnsi="宋体"/>
      <w:color w:val="0F0000"/>
      <w:kern w:val="0"/>
      <w:sz w:val="18"/>
    </w:rPr>
  </w:style>
  <w:style w:type="paragraph" w:customStyle="1" w:styleId="25">
    <w:name w:val="清單段落"/>
    <w:basedOn w:val="1"/>
    <w:qFormat/>
    <w:uiPriority w:val="0"/>
    <w:pPr>
      <w:ind w:left="720"/>
    </w:pPr>
  </w:style>
  <w:style w:type="character" w:customStyle="1" w:styleId="26">
    <w:name w:val="批注框文本 Char"/>
    <w:basedOn w:val="13"/>
    <w:link w:val="7"/>
    <w:semiHidden/>
    <w:qFormat/>
    <w:uiPriority w:val="99"/>
    <w:rPr>
      <w:kern w:val="2"/>
      <w:sz w:val="18"/>
      <w:szCs w:val="18"/>
    </w:rPr>
  </w:style>
  <w:style w:type="character" w:customStyle="1" w:styleId="27">
    <w:name w:val="日期 Char"/>
    <w:basedOn w:val="13"/>
    <w:link w:val="6"/>
    <w:semiHidden/>
    <w:qFormat/>
    <w:uiPriority w:val="99"/>
    <w:rPr>
      <w:kern w:val="2"/>
      <w:sz w:val="21"/>
    </w:rPr>
  </w:style>
  <w:style w:type="character" w:customStyle="1" w:styleId="28">
    <w:name w:val="批注文字 Char"/>
    <w:basedOn w:val="13"/>
    <w:link w:val="3"/>
    <w:qFormat/>
    <w:uiPriority w:val="0"/>
    <w:rPr>
      <w:rFonts w:ascii="宋体" w:hAnsi="宋体" w:cs="宋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38155E2-2FC6-41F1-B214-02C6DB008658}">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4</Pages>
  <Words>2574</Words>
  <Characters>2827</Characters>
  <Lines>21</Lines>
  <Paragraphs>6</Paragraphs>
  <TotalTime>5</TotalTime>
  <ScaleCrop>false</ScaleCrop>
  <LinksUpToDate>false</LinksUpToDate>
  <CharactersWithSpaces>2837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2023-04-07T02:15:00Z</dcterms:created>
  <dc:creator>雨林木风</dc:creator>
  <cp:lastModifiedBy>熊梦洋</cp:lastModifiedBy>
  <cp:lastPrinted>2013-11-12T01:54:00Z</cp:lastPrinted>
  <dcterms:modified xsi:type="dcterms:W3CDTF">2023-04-07T05:11:54Z</dcterms:modified>
  <dc:title>No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74FF89E6218F4765BF98D3CC38045479</vt:lpwstr>
  </property>
</Properties>
</file>