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3"/>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rPr>
        <w:t>一汽-大众摩捷移动出行共享季</w:t>
      </w:r>
    </w:p>
    <w:bookmarkEnd w:id="0"/>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sz w:val="21"/>
          <w:szCs w:val="21"/>
        </w:rPr>
        <w:t>一汽-大众 摩捷移动出行</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所属行业：</w:t>
      </w:r>
      <w:r>
        <w:rPr>
          <w:rFonts w:hint="eastAsia" w:ascii="微软雅黑" w:hAnsi="微软雅黑" w:eastAsia="微软雅黑"/>
          <w:sz w:val="21"/>
          <w:szCs w:val="21"/>
        </w:rPr>
        <w:t>汽车行业-</w:t>
      </w:r>
      <w:r>
        <w:rPr>
          <w:rFonts w:hint="eastAsia" w:ascii="微软雅黑" w:hAnsi="微软雅黑" w:eastAsia="微软雅黑"/>
          <w:bCs/>
          <w:sz w:val="21"/>
          <w:szCs w:val="21"/>
        </w:rPr>
        <w:t>移动出行</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执行时间：</w:t>
      </w:r>
      <w:r>
        <w:rPr>
          <w:rFonts w:hint="eastAsia" w:ascii="微软雅黑" w:hAnsi="微软雅黑" w:eastAsia="微软雅黑"/>
          <w:sz w:val="21"/>
          <w:szCs w:val="21"/>
        </w:rPr>
        <w:t>20</w:t>
      </w:r>
      <w:r>
        <w:rPr>
          <w:rFonts w:ascii="微软雅黑" w:hAnsi="微软雅黑" w:eastAsia="微软雅黑"/>
          <w:sz w:val="21"/>
          <w:szCs w:val="21"/>
        </w:rPr>
        <w:t>20</w:t>
      </w:r>
      <w:r>
        <w:rPr>
          <w:rFonts w:hint="eastAsia" w:ascii="微软雅黑" w:hAnsi="微软雅黑" w:eastAsia="微软雅黑"/>
          <w:sz w:val="21"/>
          <w:szCs w:val="21"/>
        </w:rPr>
        <w:t>.06.30-10.08</w:t>
      </w:r>
    </w:p>
    <w:p>
      <w:pPr>
        <w:rPr>
          <w:rFonts w:hint="eastAsia" w:ascii="微软雅黑" w:hAnsi="微软雅黑" w:eastAsia="微软雅黑"/>
          <w:sz w:val="21"/>
          <w:szCs w:val="21"/>
        </w:rPr>
      </w:pPr>
      <w:r>
        <w:rPr>
          <w:rFonts w:hint="eastAsia" w:ascii="微软雅黑" w:hAnsi="微软雅黑" w:eastAsia="微软雅黑"/>
          <w:b/>
          <w:sz w:val="21"/>
          <w:szCs w:val="21"/>
        </w:rPr>
        <w:t>参选类别：</w:t>
      </w:r>
      <w:r>
        <w:rPr>
          <w:rFonts w:hint="eastAsia" w:ascii="微软雅黑" w:hAnsi="微软雅黑" w:eastAsia="微软雅黑"/>
          <w:sz w:val="21"/>
          <w:szCs w:val="21"/>
        </w:rPr>
        <w:t>视频内容营销类</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sz w:val="21"/>
          <w:szCs w:val="21"/>
        </w:rPr>
        <w:t>摩捷移动出行是一汽-大众旗下的共享汽车品牌，自2018年在长春开放运营后，凭借其取还便捷、车型多样、车况良好等优势迅速发展，积累了坚实的用户基础，短时间内就成长为长春市共享出行的头部品牌，一枝独秀。然而随着市场饱和度的不断提高，品牌随之而面临用户增长缓慢、品牌发展动力不足的问题。</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sz w:val="21"/>
          <w:szCs w:val="21"/>
        </w:rPr>
        <w:t>2019年，摩捷出行入驻成都，这个新一线城市拥有丰富的地域文化和旺盛的消费主张，共享出行在这里已经发展到相对成熟的阶段并形成了激烈的竞争格局。摩捷出行想要破局而出，打响品牌知名度，完成一定目标的拉新促活和用户转化，就需要探索出一套适用于成都的营销打法，通过成都特色的大事件营销，迅速吸引当地用户，打开成都局面，为品牌发展注入新的活力。</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ascii="微软雅黑" w:hAnsi="微软雅黑" w:eastAsia="微软雅黑"/>
          <w:sz w:val="21"/>
          <w:szCs w:val="21"/>
        </w:rPr>
        <w:t>以品牌的口吻真正站在用户的角度，直面用户问题，构建用户信任感，树立品牌简单美好出行形象；全面卷入简单出行的通勤一族用利益最有效的和消费者进行深入占领</w:t>
      </w:r>
      <w:r>
        <w:rPr>
          <w:rFonts w:hint="eastAsia" w:ascii="微软雅黑" w:hAnsi="微软雅黑" w:eastAsia="微软雅黑"/>
          <w:sz w:val="21"/>
          <w:szCs w:val="21"/>
        </w:rPr>
        <w:t>。通过系列创意短视频全网病毒性传播，提高品牌知名度，促进用户拉新转化，为破局再填助力。</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
          <w:sz w:val="21"/>
          <w:szCs w:val="20"/>
        </w:rPr>
      </w:pPr>
      <w:r>
        <w:rPr>
          <w:rFonts w:hint="eastAsia" w:ascii="微软雅黑" w:hAnsi="微软雅黑" w:eastAsia="微软雅黑"/>
          <w:b/>
          <w:sz w:val="21"/>
          <w:szCs w:val="20"/>
        </w:rPr>
        <w:t>策略：</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sz w:val="21"/>
          <w:szCs w:val="20"/>
        </w:rPr>
      </w:pPr>
      <w:r>
        <w:rPr>
          <w:rFonts w:hint="eastAsia" w:ascii="微软雅黑" w:hAnsi="微软雅黑" w:eastAsia="微软雅黑"/>
          <w:bCs/>
          <w:sz w:val="21"/>
          <w:szCs w:val="20"/>
        </w:rPr>
        <w:t>以“一毛钱开摩捷”的极致价格政策为核心创意策略打造“摩捷出行共享季”，瞄准新生力量，打造新一代出行选择。通过3支主题为“一毛钱，开摩捷”的创意视频，以利益的显性表达有效占领客户心智，迅速吸纳新用户，打响品牌知名度。</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0"/>
        </w:rPr>
      </w:pPr>
      <w:r>
        <w:rPr>
          <w:rFonts w:hint="eastAsia" w:ascii="微软雅黑" w:hAnsi="微软雅黑" w:eastAsia="微软雅黑"/>
          <w:b/>
          <w:sz w:val="21"/>
          <w:szCs w:val="20"/>
        </w:rPr>
        <w:t>创意：</w:t>
      </w:r>
      <w:r>
        <w:rPr>
          <w:rFonts w:hint="eastAsia" w:ascii="微软雅黑" w:hAnsi="微软雅黑" w:eastAsia="微软雅黑"/>
          <w:bCs/>
          <w:sz w:val="21"/>
          <w:szCs w:val="20"/>
        </w:rPr>
        <w:t>摩捷出行共享季理念：拥抱全新共享时代。</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ind w:left="0" w:leftChars="0"/>
        <w:textAlignment w:val="baseline"/>
        <w:rPr>
          <w:rFonts w:ascii="微软雅黑" w:hAnsi="微软雅黑" w:eastAsia="微软雅黑"/>
          <w:bCs/>
          <w:sz w:val="21"/>
          <w:szCs w:val="20"/>
        </w:rPr>
      </w:pPr>
      <w:r>
        <w:rPr>
          <w:rFonts w:hint="eastAsia" w:ascii="微软雅黑" w:hAnsi="微软雅黑" w:eastAsia="微软雅黑"/>
          <w:bCs/>
          <w:sz w:val="21"/>
          <w:szCs w:val="20"/>
        </w:rPr>
        <w:t>共享知识新时代：从流量到留存，流量共享式拉新</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ind w:left="0" w:leftChars="0"/>
        <w:textAlignment w:val="baseline"/>
        <w:rPr>
          <w:rFonts w:ascii="微软雅黑" w:hAnsi="微软雅黑" w:eastAsia="微软雅黑"/>
          <w:bCs/>
          <w:sz w:val="21"/>
          <w:szCs w:val="20"/>
        </w:rPr>
      </w:pPr>
      <w:r>
        <w:rPr>
          <w:rFonts w:hint="eastAsia" w:ascii="微软雅黑" w:hAnsi="微软雅黑" w:eastAsia="微软雅黑"/>
          <w:bCs/>
          <w:sz w:val="21"/>
          <w:szCs w:val="20"/>
        </w:rPr>
        <w:t>共享经济指南：推出优惠政策，体验式拉新</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ind w:left="0" w:leftChars="0"/>
        <w:textAlignment w:val="baseline"/>
        <w:rPr>
          <w:rFonts w:ascii="微软雅黑" w:hAnsi="微软雅黑" w:eastAsia="微软雅黑"/>
          <w:bCs/>
          <w:sz w:val="21"/>
          <w:szCs w:val="20"/>
        </w:rPr>
      </w:pPr>
      <w:r>
        <w:rPr>
          <w:rFonts w:hint="eastAsia" w:ascii="微软雅黑" w:hAnsi="微软雅黑" w:eastAsia="微软雅黑"/>
          <w:bCs/>
          <w:sz w:val="21"/>
          <w:szCs w:val="20"/>
        </w:rPr>
        <w:t>共享健康生活：引领全新共享生活方式，口碑式拉新</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pP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
          <w:sz w:val="21"/>
          <w:szCs w:val="21"/>
        </w:rPr>
      </w:pPr>
      <w:r>
        <w:rPr>
          <w:rFonts w:hint="eastAsia" w:ascii="微软雅黑" w:hAnsi="微软雅黑" w:eastAsia="微软雅黑"/>
          <w:b/>
          <w:sz w:val="21"/>
          <w:szCs w:val="21"/>
        </w:rPr>
        <w:t>阶段1（预热期）：自有媒体矩阵造势，政策发布</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1"/>
        </w:rPr>
      </w:pPr>
      <w:r>
        <w:rPr>
          <w:rFonts w:hint="eastAsia" w:ascii="微软雅黑" w:hAnsi="微软雅黑" w:eastAsia="微软雅黑"/>
          <w:bCs/>
          <w:sz w:val="21"/>
          <w:szCs w:val="21"/>
        </w:rPr>
        <w:t>“摩捷出行成都”公众号发布题为《摩捷出行共享季来了~薅羊毛？就1毛》的推文，隆重推出摩捷出行共享季活动的优惠政策和参与方式等基本信息，为活动的引爆铺垫用户基础。</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
          <w:sz w:val="21"/>
          <w:szCs w:val="21"/>
        </w:rPr>
      </w:pPr>
      <w:r>
        <w:rPr>
          <w:rFonts w:hint="eastAsia" w:ascii="微软雅黑" w:hAnsi="微软雅黑" w:eastAsia="微软雅黑"/>
          <w:b/>
          <w:sz w:val="21"/>
          <w:szCs w:val="21"/>
        </w:rPr>
        <w:t>阶段2（爆发期）：活动理念深入输出，创意视频全网传播，UCG引导输出</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1"/>
        </w:rPr>
      </w:pPr>
      <w:r>
        <w:rPr>
          <w:rFonts w:hint="eastAsia" w:ascii="微软雅黑" w:hAnsi="微软雅黑" w:eastAsia="微软雅黑"/>
          <w:bCs/>
          <w:sz w:val="21"/>
          <w:szCs w:val="21"/>
        </w:rPr>
        <w:t>“摩捷出行”抖音账号相继发布“一毛钱，开摩捷”创意视频的“购物篇”、“艺人篇”和“红包篇”，同时发布《如果只给你一毛钱，你能干什么的？》的街头采访视频，通过概念深化、反差对比，强化活动的利益点。</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1"/>
        </w:rPr>
      </w:pPr>
      <w:r>
        <w:rPr>
          <w:rFonts w:hint="eastAsia" w:ascii="微软雅黑" w:hAnsi="微软雅黑" w:eastAsia="微软雅黑"/>
          <w:bCs/>
          <w:sz w:val="21"/>
          <w:szCs w:val="21"/>
        </w:rPr>
        <w:t>“一毛钱，开摩捷”创意短视频，以一毛钱可以做什么为创意点，分别以网购、街头艺人、抢红包三个场景展开讨论，设置悬念引出主题。视频风格活泼、情节曲折对比强烈、趣味性极强。</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1"/>
        </w:rPr>
      </w:pPr>
      <w:r>
        <w:rPr>
          <w:rFonts w:hint="eastAsia" w:ascii="微软雅黑" w:hAnsi="微软雅黑" w:eastAsia="微软雅黑"/>
          <w:bCs/>
          <w:sz w:val="21"/>
          <w:szCs w:val="21"/>
        </w:rPr>
        <w:t>“摩捷出行官方微博”发布“一毛钱开摩捷”活动相关信息，并发起#摩捷地铁好CP#有奖互动话题，引导摩丝们积极参与活动，使用摩捷，并拍照分享，传播助力。</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pPr>
      <w:r>
        <w:rPr>
          <w:rFonts w:hint="eastAsia"/>
        </w:rPr>
        <w:drawing>
          <wp:inline distT="0" distB="0" distL="114300" distR="114300">
            <wp:extent cx="2765425" cy="1555750"/>
            <wp:effectExtent l="0" t="0" r="6350" b="6350"/>
            <wp:docPr id="5" name="图片 5" descr="2021-01-15 16-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1-01-15 16-43-51"/>
                    <pic:cNvPicPr>
                      <a:picLocks noChangeAspect="1"/>
                    </pic:cNvPicPr>
                  </pic:nvPicPr>
                  <pic:blipFill>
                    <a:blip r:embed="rId10"/>
                    <a:stretch>
                      <a:fillRect/>
                    </a:stretch>
                  </pic:blipFill>
                  <pic:spPr>
                    <a:xfrm>
                      <a:off x="0" y="0"/>
                      <a:ext cx="2765425" cy="1555750"/>
                    </a:xfrm>
                    <a:prstGeom prst="rect">
                      <a:avLst/>
                    </a:prstGeom>
                  </pic:spPr>
                </pic:pic>
              </a:graphicData>
            </a:graphic>
          </wp:inline>
        </w:drawing>
      </w:r>
      <w:r>
        <w:rPr>
          <w:rFonts w:hint="eastAsia"/>
        </w:rPr>
        <w:drawing>
          <wp:inline distT="0" distB="0" distL="114300" distR="114300">
            <wp:extent cx="2747010" cy="1545590"/>
            <wp:effectExtent l="0" t="0" r="5715" b="6985"/>
            <wp:docPr id="6" name="图片 6" descr="2021-01-15 16-4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1-01-15 16-44-54"/>
                    <pic:cNvPicPr>
                      <a:picLocks noChangeAspect="1"/>
                    </pic:cNvPicPr>
                  </pic:nvPicPr>
                  <pic:blipFill>
                    <a:blip r:embed="rId11"/>
                    <a:stretch>
                      <a:fillRect/>
                    </a:stretch>
                  </pic:blipFill>
                  <pic:spPr>
                    <a:xfrm>
                      <a:off x="0" y="0"/>
                      <a:ext cx="2747010" cy="154559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pPr>
      <w:r>
        <w:drawing>
          <wp:inline distT="0" distB="0" distL="114300" distR="114300">
            <wp:extent cx="1583055" cy="2921635"/>
            <wp:effectExtent l="0" t="0" r="762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1583055" cy="2921635"/>
                    </a:xfrm>
                    <a:prstGeom prst="rect">
                      <a:avLst/>
                    </a:prstGeom>
                    <a:noFill/>
                    <a:ln>
                      <a:noFill/>
                    </a:ln>
                  </pic:spPr>
                </pic:pic>
              </a:graphicData>
            </a:graphic>
          </wp:inline>
        </w:drawing>
      </w:r>
      <w:r>
        <w:drawing>
          <wp:inline distT="0" distB="0" distL="114300" distR="114300">
            <wp:extent cx="1873250" cy="2925445"/>
            <wp:effectExtent l="0" t="0" r="317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1873250" cy="2925445"/>
                    </a:xfrm>
                    <a:prstGeom prst="rect">
                      <a:avLst/>
                    </a:prstGeom>
                    <a:noFill/>
                    <a:ln>
                      <a:noFill/>
                    </a:ln>
                  </pic:spPr>
                </pic:pic>
              </a:graphicData>
            </a:graphic>
          </wp:inline>
        </w:drawing>
      </w:r>
      <w:r>
        <w:drawing>
          <wp:inline distT="0" distB="0" distL="114300" distR="114300">
            <wp:extent cx="2166620" cy="2910205"/>
            <wp:effectExtent l="0" t="0" r="508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2166620" cy="291020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hint="eastAsia" w:ascii="微软雅黑" w:hAnsi="微软雅黑" w:eastAsia="微软雅黑"/>
          <w:bCs/>
          <w:sz w:val="21"/>
          <w:szCs w:val="21"/>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1"/>
        </w:rPr>
      </w:pPr>
      <w:r>
        <w:rPr>
          <w:rFonts w:hint="eastAsia" w:ascii="微软雅黑" w:hAnsi="微软雅黑" w:eastAsia="微软雅黑"/>
          <w:bCs/>
          <w:sz w:val="21"/>
          <w:szCs w:val="21"/>
        </w:rPr>
        <w:t>视频链接：</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1"/>
        </w:rPr>
      </w:pPr>
      <w:r>
        <w:rPr>
          <w:rFonts w:hint="eastAsia" w:ascii="微软雅黑" w:hAnsi="微软雅黑" w:eastAsia="微软雅黑"/>
          <w:bCs/>
          <w:sz w:val="21"/>
          <w:szCs w:val="21"/>
        </w:rPr>
        <w:t>购物篇：</w:t>
      </w:r>
      <w:r>
        <w:fldChar w:fldCharType="begin"/>
      </w:r>
      <w:r>
        <w:instrText xml:space="preserve"> HYPERLINK "https://www.bilibili.com/video/BV1PU4y147bV/" </w:instrText>
      </w:r>
      <w:r>
        <w:fldChar w:fldCharType="separate"/>
      </w:r>
      <w:r>
        <w:rPr>
          <w:rStyle w:val="15"/>
          <w:rFonts w:hint="eastAsia" w:ascii="微软雅黑" w:hAnsi="微软雅黑" w:eastAsia="微软雅黑"/>
          <w:bCs/>
          <w:sz w:val="21"/>
          <w:szCs w:val="21"/>
        </w:rPr>
        <w:t>https://www.bilibili.com/video/BV1PU4y147bV/</w:t>
      </w:r>
      <w:r>
        <w:rPr>
          <w:rStyle w:val="15"/>
          <w:rFonts w:hint="eastAsia" w:ascii="微软雅黑" w:hAnsi="微软雅黑" w:eastAsia="微软雅黑"/>
          <w:bCs/>
          <w:sz w:val="21"/>
          <w:szCs w:val="21"/>
        </w:rPr>
        <w:fldChar w:fldCharType="end"/>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1"/>
        </w:rPr>
      </w:pPr>
      <w:r>
        <w:rPr>
          <w:rFonts w:hint="eastAsia" w:ascii="微软雅黑" w:hAnsi="微软雅黑" w:eastAsia="微软雅黑"/>
          <w:bCs/>
          <w:sz w:val="21"/>
          <w:szCs w:val="21"/>
        </w:rPr>
        <w:t>红包篇：</w:t>
      </w:r>
      <w:r>
        <w:fldChar w:fldCharType="begin"/>
      </w:r>
      <w:r>
        <w:instrText xml:space="preserve"> HYPERLINK "https://www.bilibili.com/video/BV1Az4y1S7BX/" </w:instrText>
      </w:r>
      <w:r>
        <w:fldChar w:fldCharType="separate"/>
      </w:r>
      <w:r>
        <w:rPr>
          <w:rStyle w:val="15"/>
          <w:rFonts w:hint="eastAsia" w:ascii="微软雅黑" w:hAnsi="微软雅黑" w:eastAsia="微软雅黑"/>
          <w:bCs/>
          <w:sz w:val="21"/>
          <w:szCs w:val="21"/>
        </w:rPr>
        <w:t>https://www.bilibili.com/video/BV1Az4y1S7BX/</w:t>
      </w:r>
      <w:r>
        <w:rPr>
          <w:rStyle w:val="15"/>
          <w:rFonts w:hint="eastAsia" w:ascii="微软雅黑" w:hAnsi="微软雅黑" w:eastAsia="微软雅黑"/>
          <w:bCs/>
          <w:sz w:val="21"/>
          <w:szCs w:val="21"/>
        </w:rPr>
        <w:fldChar w:fldCharType="end"/>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1"/>
        </w:rPr>
      </w:pPr>
      <w:r>
        <w:rPr>
          <w:rFonts w:hint="eastAsia" w:ascii="微软雅黑" w:hAnsi="微软雅黑" w:eastAsia="微软雅黑"/>
          <w:bCs/>
          <w:sz w:val="21"/>
          <w:szCs w:val="21"/>
        </w:rPr>
        <w:t>艺人篇：</w:t>
      </w:r>
      <w:r>
        <w:fldChar w:fldCharType="begin"/>
      </w:r>
      <w:r>
        <w:instrText xml:space="preserve"> HYPERLINK "https://www.bilibili.com/video/BV1Bp4y1x7LV/" </w:instrText>
      </w:r>
      <w:r>
        <w:fldChar w:fldCharType="separate"/>
      </w:r>
      <w:r>
        <w:rPr>
          <w:rStyle w:val="15"/>
          <w:rFonts w:hint="eastAsia" w:ascii="微软雅黑" w:hAnsi="微软雅黑" w:eastAsia="微软雅黑"/>
          <w:bCs/>
          <w:sz w:val="21"/>
          <w:szCs w:val="21"/>
        </w:rPr>
        <w:t>https://www.bilibili.com/video/BV1Bp4y1x7LV/</w:t>
      </w:r>
      <w:r>
        <w:rPr>
          <w:rStyle w:val="15"/>
          <w:rFonts w:hint="eastAsia" w:ascii="微软雅黑" w:hAnsi="微软雅黑" w:eastAsia="微软雅黑"/>
          <w:bCs/>
          <w:sz w:val="21"/>
          <w:szCs w:val="21"/>
        </w:rPr>
        <w:fldChar w:fldCharType="end"/>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
          <w:sz w:val="21"/>
          <w:szCs w:val="21"/>
        </w:rPr>
      </w:pPr>
      <w:r>
        <w:rPr>
          <w:rFonts w:hint="eastAsia" w:ascii="微软雅黑" w:hAnsi="微软雅黑" w:eastAsia="微软雅黑"/>
          <w:b/>
          <w:sz w:val="21"/>
          <w:szCs w:val="21"/>
        </w:rPr>
        <w:t>阶段3（延续期）：活动总结</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Cs/>
          <w:sz w:val="21"/>
          <w:szCs w:val="21"/>
        </w:rPr>
      </w:pPr>
      <w:r>
        <w:rPr>
          <w:rFonts w:hint="eastAsia" w:ascii="微软雅黑" w:hAnsi="微软雅黑" w:eastAsia="微软雅黑"/>
          <w:bCs/>
          <w:sz w:val="21"/>
          <w:szCs w:val="21"/>
        </w:rPr>
        <w:t>“摩捷出行”公众号发布题为《摩捷出行共享季高能收官，未来精彩福利无限》的总结文章，回顾共享季活动，细数活动中的温暖故事和精彩瞬间，引起讨论，长尾效应。</w:t>
      </w:r>
    </w:p>
    <w:p>
      <w:pPr>
        <w:keepNext w:val="0"/>
        <w:keepLines w:val="0"/>
        <w:pageBreakBefore w:val="0"/>
        <w:widowControl/>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
          <w:color w:val="0000FF"/>
          <w:sz w:val="28"/>
        </w:rPr>
      </w:pPr>
      <w:r>
        <w:rPr>
          <w:rFonts w:hint="eastAsia" w:ascii="微软雅黑" w:hAnsi="微软雅黑" w:eastAsia="微软雅黑"/>
          <w:b/>
          <w:color w:val="0000FF"/>
          <w:sz w:val="28"/>
        </w:rPr>
        <w:t>营销效果与市场反馈</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0"/>
        </w:rPr>
      </w:pPr>
      <w:r>
        <w:rPr>
          <w:rFonts w:hint="eastAsia" w:ascii="微软雅黑" w:hAnsi="微软雅黑" w:eastAsia="微软雅黑"/>
          <w:bCs/>
          <w:sz w:val="21"/>
          <w:szCs w:val="20"/>
        </w:rPr>
        <w:t>摩捷出行共享季强势输出</w:t>
      </w:r>
      <w:r>
        <w:rPr>
          <w:rFonts w:hint="eastAsia" w:ascii="微软雅黑" w:hAnsi="微软雅黑" w:eastAsia="微软雅黑"/>
          <w:b/>
          <w:sz w:val="21"/>
          <w:szCs w:val="20"/>
        </w:rPr>
        <w:t>3个月</w:t>
      </w:r>
      <w:r>
        <w:rPr>
          <w:rFonts w:hint="eastAsia" w:ascii="微软雅黑" w:hAnsi="微软雅黑" w:eastAsia="微软雅黑"/>
          <w:bCs/>
          <w:sz w:val="21"/>
          <w:szCs w:val="20"/>
        </w:rPr>
        <w:t>，共</w:t>
      </w:r>
      <w:r>
        <w:rPr>
          <w:rFonts w:hint="eastAsia" w:ascii="微软雅黑" w:hAnsi="微软雅黑" w:eastAsia="微软雅黑"/>
          <w:b/>
          <w:sz w:val="21"/>
          <w:szCs w:val="20"/>
        </w:rPr>
        <w:t>93天</w:t>
      </w:r>
      <w:r>
        <w:rPr>
          <w:rFonts w:hint="eastAsia" w:ascii="微软雅黑" w:hAnsi="微软雅黑" w:eastAsia="微软雅黑"/>
          <w:bCs/>
          <w:sz w:val="21"/>
          <w:szCs w:val="20"/>
        </w:rPr>
        <w:t>，活动车辆</w:t>
      </w:r>
      <w:r>
        <w:rPr>
          <w:rFonts w:hint="eastAsia" w:ascii="微软雅黑" w:hAnsi="微软雅黑" w:eastAsia="微软雅黑"/>
          <w:b/>
          <w:sz w:val="21"/>
          <w:szCs w:val="20"/>
        </w:rPr>
        <w:t>5000辆</w:t>
      </w:r>
      <w:r>
        <w:rPr>
          <w:rFonts w:hint="eastAsia" w:ascii="微软雅黑" w:hAnsi="微软雅黑" w:eastAsia="微软雅黑"/>
          <w:bCs/>
          <w:sz w:val="21"/>
          <w:szCs w:val="20"/>
        </w:rPr>
        <w:t>，累计</w:t>
      </w:r>
      <w:r>
        <w:rPr>
          <w:rFonts w:hint="eastAsia" w:ascii="微软雅黑" w:hAnsi="微软雅黑" w:eastAsia="微软雅黑"/>
          <w:b/>
          <w:sz w:val="21"/>
          <w:szCs w:val="20"/>
        </w:rPr>
        <w:t>20余万</w:t>
      </w:r>
      <w:r>
        <w:rPr>
          <w:rFonts w:hint="eastAsia" w:ascii="微软雅黑" w:hAnsi="微软雅黑" w:eastAsia="微软雅黑"/>
          <w:bCs/>
          <w:sz w:val="21"/>
          <w:szCs w:val="20"/>
        </w:rPr>
        <w:t>用户畅享“共享季”</w:t>
      </w:r>
      <w:r>
        <w:rPr>
          <w:rFonts w:hint="eastAsia" w:ascii="微软雅黑" w:hAnsi="微软雅黑" w:eastAsia="微软雅黑"/>
          <w:b/>
          <w:sz w:val="21"/>
          <w:szCs w:val="20"/>
        </w:rPr>
        <w:t>；</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bCs/>
          <w:sz w:val="21"/>
          <w:szCs w:val="20"/>
        </w:rPr>
      </w:pPr>
      <w:r>
        <w:rPr>
          <w:rFonts w:hint="eastAsia" w:ascii="微软雅黑" w:hAnsi="微软雅黑" w:eastAsia="微软雅黑"/>
          <w:bCs/>
          <w:sz w:val="21"/>
          <w:szCs w:val="20"/>
        </w:rPr>
        <w:t>达成有效用户留存</w:t>
      </w:r>
      <w:r>
        <w:rPr>
          <w:rFonts w:hint="eastAsia" w:ascii="微软雅黑" w:hAnsi="微软雅黑" w:eastAsia="微软雅黑"/>
          <w:b/>
          <w:sz w:val="21"/>
          <w:szCs w:val="20"/>
        </w:rPr>
        <w:t>7万+，</w:t>
      </w:r>
      <w:r>
        <w:rPr>
          <w:rFonts w:hint="eastAsia" w:ascii="微软雅黑" w:hAnsi="微软雅黑" w:eastAsia="微软雅黑"/>
          <w:bCs/>
          <w:sz w:val="21"/>
          <w:szCs w:val="20"/>
        </w:rPr>
        <w:t>摩捷出行成都微信公众号增粉</w:t>
      </w:r>
      <w:r>
        <w:rPr>
          <w:rFonts w:hint="eastAsia" w:ascii="微软雅黑" w:hAnsi="微软雅黑" w:eastAsia="微软雅黑"/>
          <w:b/>
          <w:sz w:val="21"/>
          <w:szCs w:val="20"/>
        </w:rPr>
        <w:t>3万+</w:t>
      </w:r>
      <w:r>
        <w:rPr>
          <w:rFonts w:hint="eastAsia" w:ascii="微软雅黑" w:hAnsi="微软雅黑" w:eastAsia="微软雅黑"/>
          <w:bCs/>
          <w:sz w:val="21"/>
          <w:szCs w:val="20"/>
        </w:rPr>
        <w:t>；</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ind w:left="0" w:leftChars="0"/>
        <w:textAlignment w:val="baseline"/>
        <w:rPr>
          <w:rFonts w:ascii="微软雅黑" w:hAnsi="微软雅黑" w:eastAsia="微软雅黑"/>
          <w:color w:val="FF0000"/>
          <w:szCs w:val="21"/>
        </w:rPr>
      </w:pPr>
      <w:r>
        <w:rPr>
          <w:rFonts w:hint="eastAsia" w:ascii="微软雅黑" w:hAnsi="微软雅黑" w:eastAsia="微软雅黑"/>
          <w:bCs/>
          <w:sz w:val="21"/>
          <w:szCs w:val="20"/>
        </w:rPr>
        <w:t>《一毛钱，开摩捷》系列创意短片在</w:t>
      </w:r>
      <w:r>
        <w:rPr>
          <w:rFonts w:hint="eastAsia" w:ascii="微软雅黑" w:hAnsi="微软雅黑" w:eastAsia="微软雅黑"/>
          <w:bCs/>
          <w:sz w:val="21"/>
          <w:szCs w:val="20"/>
          <w:lang w:eastAsia="zh-Hans"/>
        </w:rPr>
        <w:t>全渠道曝光</w:t>
      </w:r>
      <w:r>
        <w:rPr>
          <w:rFonts w:hint="eastAsia" w:ascii="微软雅黑" w:hAnsi="微软雅黑" w:eastAsia="微软雅黑"/>
          <w:bCs/>
          <w:sz w:val="21"/>
          <w:szCs w:val="20"/>
        </w:rPr>
        <w:t>突破 74 万，完成 KPI 的 112%。</w:t>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1277F"/>
    <w:rsid w:val="002208F6"/>
    <w:rsid w:val="0022117C"/>
    <w:rsid w:val="00234B61"/>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0F49"/>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05BB"/>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290"/>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A3304"/>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0061"/>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215B7"/>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43BB"/>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4546"/>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46282"/>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5A50F20"/>
    <w:rsid w:val="079948EB"/>
    <w:rsid w:val="08994DE6"/>
    <w:rsid w:val="09FA2AB3"/>
    <w:rsid w:val="0E743D0C"/>
    <w:rsid w:val="1C0D32D0"/>
    <w:rsid w:val="2F716079"/>
    <w:rsid w:val="3F623EED"/>
    <w:rsid w:val="416534BF"/>
    <w:rsid w:val="4FF15B61"/>
    <w:rsid w:val="50D11134"/>
    <w:rsid w:val="54484473"/>
    <w:rsid w:val="597D36D6"/>
    <w:rsid w:val="7D5A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qFormat/>
    <w:uiPriority w:val="0"/>
    <w:rPr>
      <w:rFonts w:ascii="Arial" w:hAnsi="Arial" w:cs="Times New Roman"/>
      <w:sz w:val="18"/>
      <w:szCs w:val="20"/>
    </w:rPr>
  </w:style>
  <w:style w:type="paragraph" w:styleId="5">
    <w:name w:val="Balloon Text"/>
    <w:basedOn w:val="1"/>
    <w:link w:val="26"/>
    <w:unhideWhenUsed/>
    <w:qFormat/>
    <w:uiPriority w:val="99"/>
    <w:rPr>
      <w:sz w:val="18"/>
      <w:szCs w:val="18"/>
    </w:rPr>
  </w:style>
  <w:style w:type="paragraph" w:styleId="6">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qFormat/>
    <w:uiPriority w:val="0"/>
    <w:pPr>
      <w:spacing w:before="100" w:beforeAutospacing="1" w:after="100" w:afterAutospacing="1"/>
    </w:pPr>
    <w:rPr>
      <w:rFonts w:cs="Times New Roman"/>
      <w:szCs w:val="20"/>
    </w:rPr>
  </w:style>
  <w:style w:type="paragraph" w:styleId="9">
    <w:name w:val="Title"/>
    <w:basedOn w:val="1"/>
    <w:link w:val="18"/>
    <w:qFormat/>
    <w:uiPriority w:val="0"/>
    <w:pPr>
      <w:jc w:val="center"/>
    </w:pPr>
    <w:rPr>
      <w:rFonts w:ascii="Times New Roman" w:hAnsi="Times New Roman" w:cs="Times New Roman"/>
      <w:b/>
      <w:kern w:val="2"/>
      <w:sz w:val="28"/>
      <w:szCs w:val="20"/>
      <w:lang w:eastAsia="en-U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unhideWhenUsed/>
    <w:qFormat/>
    <w:uiPriority w:val="99"/>
    <w:rPr>
      <w:color w:val="800080"/>
      <w:u w:val="single"/>
    </w:rPr>
  </w:style>
  <w:style w:type="character" w:styleId="16">
    <w:name w:val="Emphasis"/>
    <w:basedOn w:val="12"/>
    <w:qFormat/>
    <w:uiPriority w:val="0"/>
    <w:rPr>
      <w:i/>
    </w:rPr>
  </w:style>
  <w:style w:type="character" w:styleId="17">
    <w:name w:val="Hyperlink"/>
    <w:basedOn w:val="12"/>
    <w:qFormat/>
    <w:uiPriority w:val="0"/>
    <w:rPr>
      <w:color w:val="0000FF"/>
      <w:u w:val="single"/>
    </w:rPr>
  </w:style>
  <w:style w:type="character" w:customStyle="1" w:styleId="18">
    <w:name w:val="标题 Char"/>
    <w:basedOn w:val="12"/>
    <w:link w:val="9"/>
    <w:qFormat/>
    <w:uiPriority w:val="0"/>
    <w:rPr>
      <w:b/>
      <w:sz w:val="28"/>
      <w:lang w:eastAsia="en-US"/>
    </w:rPr>
  </w:style>
  <w:style w:type="character" w:customStyle="1" w:styleId="19">
    <w:name w:val="bottom1"/>
    <w:basedOn w:val="12"/>
    <w:qFormat/>
    <w:uiPriority w:val="0"/>
    <w:rPr>
      <w:color w:val="6E6E6E"/>
    </w:rPr>
  </w:style>
  <w:style w:type="character" w:customStyle="1" w:styleId="20">
    <w:name w:val="apple-converted-space"/>
    <w:basedOn w:val="12"/>
    <w:qFormat/>
    <w:uiPriority w:val="0"/>
  </w:style>
  <w:style w:type="character" w:customStyle="1" w:styleId="21">
    <w:name w:val="apple-style-span"/>
    <w:basedOn w:val="12"/>
    <w:qFormat/>
    <w:uiPriority w:val="0"/>
  </w:style>
  <w:style w:type="paragraph" w:customStyle="1" w:styleId="22">
    <w:name w:val="列出段落1"/>
    <w:basedOn w:val="1"/>
    <w:qFormat/>
    <w:uiPriority w:val="34"/>
    <w:pPr>
      <w:widowControl w:val="0"/>
      <w:ind w:firstLine="420" w:firstLineChars="200"/>
      <w:jc w:val="both"/>
    </w:pPr>
    <w:rPr>
      <w:rFonts w:ascii="Calibri" w:hAnsi="Calibri" w:cs="Times New Roman"/>
      <w:kern w:val="2"/>
      <w:sz w:val="21"/>
      <w:szCs w:val="20"/>
    </w:rPr>
  </w:style>
  <w:style w:type="paragraph" w:customStyle="1" w:styleId="23">
    <w:name w:val="p0"/>
    <w:basedOn w:val="1"/>
    <w:qFormat/>
    <w:uiPriority w:val="0"/>
    <w:pPr>
      <w:jc w:val="both"/>
    </w:pPr>
    <w:rPr>
      <w:rFonts w:ascii="Times New Roman" w:hAnsi="Times New Roman" w:cs="Times New Roman"/>
      <w:sz w:val="21"/>
      <w:szCs w:val="20"/>
    </w:rPr>
  </w:style>
  <w:style w:type="paragraph" w:customStyle="1" w:styleId="24">
    <w:name w:val="css"/>
    <w:basedOn w:val="1"/>
    <w:qFormat/>
    <w:uiPriority w:val="0"/>
    <w:pPr>
      <w:spacing w:before="100" w:beforeAutospacing="1" w:after="100" w:afterAutospacing="1"/>
    </w:pPr>
    <w:rPr>
      <w:rFonts w:cs="Times New Roman"/>
      <w:color w:val="0F0000"/>
      <w:sz w:val="18"/>
      <w:szCs w:val="20"/>
    </w:rPr>
  </w:style>
  <w:style w:type="paragraph" w:customStyle="1" w:styleId="25">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6">
    <w:name w:val="批注框文本 Char"/>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340</Words>
  <Characters>1943</Characters>
  <Lines>16</Lines>
  <Paragraphs>4</Paragraphs>
  <TotalTime>3</TotalTime>
  <ScaleCrop>false</ScaleCrop>
  <LinksUpToDate>false</LinksUpToDate>
  <CharactersWithSpaces>2279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2015-11-23T23:28:00Z</dcterms:created>
  <dc:creator>雨林木风</dc:creator>
  <cp:lastModifiedBy>韩旭</cp:lastModifiedBy>
  <cp:lastPrinted>2012-10-12T00:46:00Z</cp:lastPrinted>
  <dcterms:modified xsi:type="dcterms:W3CDTF">2021-02-03T06:02:33Z</dcterms:modified>
  <dc:title>No</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