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color w:val="EAB30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杭州银行直销银行人脉圈MGM裂变营销</w:t>
      </w:r>
    </w:p>
    <w:bookmarkEnd w:id="0"/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广 告 主：</w:t>
      </w:r>
      <w:r>
        <w:rPr>
          <w:rFonts w:hint="eastAsia" w:ascii="微软雅黑" w:hAnsi="微软雅黑" w:eastAsia="微软雅黑"/>
          <w:sz w:val="21"/>
          <w:szCs w:val="21"/>
        </w:rPr>
        <w:t>杭银直销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所属行业：</w:t>
      </w:r>
      <w:r>
        <w:rPr>
          <w:rFonts w:hint="eastAsia" w:ascii="微软雅黑" w:hAnsi="微软雅黑" w:eastAsia="微软雅黑"/>
          <w:sz w:val="21"/>
          <w:szCs w:val="21"/>
        </w:rPr>
        <w:t>金融行业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执行时间：</w:t>
      </w:r>
      <w:r>
        <w:rPr>
          <w:rFonts w:hint="eastAsia" w:ascii="微软雅黑" w:hAnsi="微软雅黑" w:eastAsia="微软雅黑"/>
          <w:sz w:val="21"/>
          <w:szCs w:val="21"/>
        </w:rPr>
        <w:t>20</w:t>
      </w:r>
      <w:r>
        <w:rPr>
          <w:rFonts w:ascii="微软雅黑" w:hAnsi="微软雅黑" w:eastAsia="微软雅黑"/>
          <w:sz w:val="21"/>
          <w:szCs w:val="21"/>
        </w:rPr>
        <w:t>20</w:t>
      </w:r>
      <w:r>
        <w:rPr>
          <w:rFonts w:hint="eastAsia" w:ascii="微软雅黑" w:hAnsi="微软雅黑" w:eastAsia="微软雅黑"/>
          <w:sz w:val="21"/>
          <w:szCs w:val="21"/>
        </w:rPr>
        <w:t>.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</w:t>
      </w:r>
      <w:r>
        <w:rPr>
          <w:rFonts w:ascii="微软雅黑" w:hAnsi="微软雅黑" w:eastAsia="微软雅黑"/>
          <w:sz w:val="21"/>
          <w:szCs w:val="21"/>
        </w:rPr>
        <w:t>4</w:t>
      </w:r>
      <w:r>
        <w:rPr>
          <w:rFonts w:hint="eastAsia" w:ascii="微软雅黑" w:hAnsi="微软雅黑" w:eastAsia="微软雅黑"/>
          <w:sz w:val="21"/>
          <w:szCs w:val="21"/>
        </w:rPr>
        <w:t>-20</w:t>
      </w:r>
      <w:r>
        <w:rPr>
          <w:rFonts w:ascii="微软雅黑" w:hAnsi="微软雅黑" w:eastAsia="微软雅黑"/>
          <w:sz w:val="21"/>
          <w:szCs w:val="21"/>
        </w:rPr>
        <w:t>20</w:t>
      </w:r>
      <w:r>
        <w:rPr>
          <w:rFonts w:hint="eastAsia" w:ascii="微软雅黑" w:hAnsi="微软雅黑" w:eastAsia="微软雅黑"/>
          <w:sz w:val="21"/>
          <w:szCs w:val="21"/>
        </w:rPr>
        <w:t>.</w:t>
      </w:r>
      <w:r>
        <w:rPr>
          <w:rFonts w:ascii="微软雅黑" w:hAnsi="微软雅黑" w:eastAsia="微软雅黑"/>
          <w:sz w:val="21"/>
          <w:szCs w:val="21"/>
        </w:rPr>
        <w:t>12</w:t>
      </w:r>
    </w:p>
    <w:p>
      <w:pPr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参选类别：</w:t>
      </w:r>
      <w:r>
        <w:rPr>
          <w:rFonts w:hint="eastAsia" w:ascii="微软雅黑" w:hAnsi="微软雅黑" w:eastAsia="微软雅黑"/>
          <w:sz w:val="21"/>
          <w:szCs w:val="21"/>
        </w:rPr>
        <w:t>效果营销类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一、直销</w:t>
      </w:r>
      <w:r>
        <w:rPr>
          <w:rFonts w:ascii="微软雅黑" w:hAnsi="微软雅黑" w:eastAsia="微软雅黑"/>
          <w:b/>
          <w:bCs/>
          <w:sz w:val="21"/>
          <w:szCs w:val="21"/>
        </w:rPr>
        <w:t>银行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业务仍有</w:t>
      </w:r>
      <w:r>
        <w:rPr>
          <w:rFonts w:ascii="微软雅黑" w:hAnsi="微软雅黑" w:eastAsia="微软雅黑"/>
          <w:b/>
          <w:bCs/>
          <w:sz w:val="21"/>
          <w:szCs w:val="21"/>
        </w:rPr>
        <w:t>广阔发展空间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受疫情影响，监管倡议金融消费者充分利用线上金融服务渠道办理业务，银行、基金公司等金融机构积极响应，纷纷将理财、基金等业务推荐场景搬到线上。同时</w:t>
      </w:r>
      <w:r>
        <w:rPr>
          <w:rFonts w:ascii="微软雅黑" w:hAnsi="微软雅黑" w:eastAsia="微软雅黑"/>
          <w:sz w:val="21"/>
          <w:szCs w:val="21"/>
        </w:rPr>
        <w:t>，</w:t>
      </w:r>
      <w:r>
        <w:rPr>
          <w:rFonts w:hint="eastAsia" w:ascii="微软雅黑" w:hAnsi="微软雅黑" w:eastAsia="微软雅黑"/>
          <w:sz w:val="21"/>
          <w:szCs w:val="21"/>
        </w:rPr>
        <w:t>面对外部的贸易摩擦、内部经济下行冲击的基本环境，各类财富管理机构频频暴雷踩雷，投资理财的保守心态和避险情绪在近年内逐渐加强，这也给直销银行的业务发展带来了新的机遇和挑战。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二、杭州银行直销银行稳居行业头部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作为国内直销银行的首批实践者，杭州银行直销银行“杭银直销”自2015年推出以来，充分发挥城市商业银行的区域资源禀赋，以金融科技为驱动，打造以安全和高效为基础，智能和生活为中心的数字银行。截至20</w:t>
      </w:r>
      <w:r>
        <w:rPr>
          <w:rFonts w:ascii="微软雅黑" w:hAnsi="微软雅黑" w:eastAsia="微软雅黑"/>
          <w:sz w:val="21"/>
          <w:szCs w:val="21"/>
        </w:rPr>
        <w:t>20</w:t>
      </w:r>
      <w:r>
        <w:rPr>
          <w:rFonts w:hint="eastAsia" w:ascii="微软雅黑" w:hAnsi="微软雅黑" w:eastAsia="微软雅黑"/>
          <w:sz w:val="21"/>
          <w:szCs w:val="21"/>
        </w:rPr>
        <w:t>年年底，杭州银行直销银行客户数突破</w:t>
      </w:r>
      <w:r>
        <w:rPr>
          <w:rFonts w:ascii="微软雅黑" w:hAnsi="微软雅黑" w:eastAsia="微软雅黑"/>
          <w:sz w:val="21"/>
          <w:szCs w:val="21"/>
        </w:rPr>
        <w:t>7</w:t>
      </w:r>
      <w:r>
        <w:rPr>
          <w:rFonts w:hint="eastAsia" w:ascii="微软雅黑" w:hAnsi="微软雅黑" w:eastAsia="微软雅黑"/>
          <w:sz w:val="21"/>
          <w:szCs w:val="21"/>
        </w:rPr>
        <w:t>00万人，用户</w:t>
      </w:r>
      <w:r>
        <w:rPr>
          <w:rFonts w:ascii="微软雅黑" w:hAnsi="微软雅黑" w:eastAsia="微软雅黑"/>
          <w:sz w:val="21"/>
          <w:szCs w:val="21"/>
        </w:rPr>
        <w:t>遍布全国各地。</w:t>
      </w:r>
      <w:r>
        <w:rPr>
          <w:rFonts w:hint="eastAsia" w:ascii="微软雅黑" w:hAnsi="微软雅黑" w:eastAsia="微软雅黑"/>
          <w:sz w:val="21"/>
          <w:szCs w:val="21"/>
        </w:rPr>
        <w:t>在《互联网周刊》2019年</w:t>
      </w:r>
      <w:r>
        <w:rPr>
          <w:rFonts w:ascii="微软雅黑" w:hAnsi="微软雅黑" w:eastAsia="微软雅黑"/>
          <w:sz w:val="21"/>
          <w:szCs w:val="21"/>
        </w:rPr>
        <w:t>、</w:t>
      </w:r>
      <w:r>
        <w:rPr>
          <w:rFonts w:hint="eastAsia" w:ascii="微软雅黑" w:hAnsi="微软雅黑" w:eastAsia="微软雅黑"/>
          <w:sz w:val="21"/>
          <w:szCs w:val="21"/>
        </w:rPr>
        <w:t>2020年</w:t>
      </w:r>
      <w:r>
        <w:rPr>
          <w:rFonts w:ascii="微软雅黑" w:hAnsi="微软雅黑" w:eastAsia="微软雅黑"/>
          <w:sz w:val="21"/>
          <w:szCs w:val="21"/>
        </w:rPr>
        <w:t>连续两年</w:t>
      </w:r>
      <w:r>
        <w:rPr>
          <w:rFonts w:hint="eastAsia" w:ascii="微软雅黑" w:hAnsi="微软雅黑" w:eastAsia="微软雅黑"/>
          <w:sz w:val="21"/>
          <w:szCs w:val="21"/>
        </w:rPr>
        <w:t>发布的《中国</w:t>
      </w:r>
      <w:r>
        <w:rPr>
          <w:rFonts w:ascii="微软雅黑" w:hAnsi="微软雅黑" w:eastAsia="微软雅黑"/>
          <w:sz w:val="21"/>
          <w:szCs w:val="21"/>
        </w:rPr>
        <w:t>直销银行</w:t>
      </w:r>
      <w:r>
        <w:rPr>
          <w:rFonts w:hint="eastAsia" w:ascii="微软雅黑" w:hAnsi="微软雅黑" w:eastAsia="微软雅黑"/>
          <w:sz w:val="21"/>
          <w:szCs w:val="21"/>
        </w:rPr>
        <w:t>排行榜》上，杭州银行直销银行稳居全国金融机构第</w:t>
      </w:r>
      <w:r>
        <w:rPr>
          <w:rFonts w:ascii="微软雅黑" w:hAnsi="微软雅黑" w:eastAsia="微软雅黑"/>
          <w:sz w:val="21"/>
          <w:szCs w:val="21"/>
        </w:rPr>
        <w:t>5名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三、MGM（用户带用户）打造</w:t>
      </w:r>
      <w:r>
        <w:rPr>
          <w:rFonts w:ascii="微软雅黑" w:hAnsi="微软雅黑" w:eastAsia="微软雅黑"/>
          <w:b/>
          <w:bCs/>
          <w:sz w:val="21"/>
          <w:szCs w:val="21"/>
        </w:rPr>
        <w:t>私域流量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随着消费者触点</w:t>
      </w:r>
      <w:r>
        <w:rPr>
          <w:rFonts w:ascii="微软雅黑" w:hAnsi="微软雅黑" w:eastAsia="微软雅黑"/>
          <w:sz w:val="21"/>
          <w:szCs w:val="21"/>
        </w:rPr>
        <w:t>碎片化日趋严重、</w:t>
      </w:r>
      <w:r>
        <w:rPr>
          <w:rFonts w:hint="eastAsia" w:ascii="微软雅黑" w:hAnsi="微软雅黑" w:eastAsia="微软雅黑"/>
          <w:sz w:val="21"/>
          <w:szCs w:val="21"/>
        </w:rPr>
        <w:t>流量价格</w:t>
      </w:r>
      <w:r>
        <w:rPr>
          <w:rFonts w:ascii="微软雅黑" w:hAnsi="微软雅黑" w:eastAsia="微软雅黑"/>
          <w:sz w:val="21"/>
          <w:szCs w:val="21"/>
        </w:rPr>
        <w:t>不断高企</w:t>
      </w:r>
      <w:r>
        <w:rPr>
          <w:rFonts w:hint="eastAsia" w:ascii="微软雅黑" w:hAnsi="微软雅黑" w:eastAsia="微软雅黑"/>
          <w:sz w:val="21"/>
          <w:szCs w:val="21"/>
        </w:rPr>
        <w:t>、用户</w:t>
      </w:r>
      <w:r>
        <w:rPr>
          <w:rFonts w:ascii="微软雅黑" w:hAnsi="微软雅黑" w:eastAsia="微软雅黑"/>
          <w:sz w:val="21"/>
          <w:szCs w:val="21"/>
        </w:rPr>
        <w:t>转化效率</w:t>
      </w:r>
      <w:r>
        <w:rPr>
          <w:rFonts w:hint="eastAsia" w:ascii="微软雅黑" w:hAnsi="微软雅黑" w:eastAsia="微软雅黑"/>
          <w:sz w:val="21"/>
          <w:szCs w:val="21"/>
        </w:rPr>
        <w:t>逐渐</w:t>
      </w:r>
      <w:r>
        <w:rPr>
          <w:rFonts w:ascii="微软雅黑" w:hAnsi="微软雅黑" w:eastAsia="微软雅黑"/>
          <w:sz w:val="21"/>
          <w:szCs w:val="21"/>
        </w:rPr>
        <w:t>下降，构建</w:t>
      </w:r>
      <w:r>
        <w:rPr>
          <w:rFonts w:hint="eastAsia" w:ascii="微软雅黑" w:hAnsi="微软雅黑" w:eastAsia="微软雅黑"/>
          <w:sz w:val="21"/>
          <w:szCs w:val="21"/>
        </w:rPr>
        <w:t>自有</w:t>
      </w:r>
      <w:r>
        <w:rPr>
          <w:rFonts w:ascii="微软雅黑" w:hAnsi="微软雅黑" w:eastAsia="微软雅黑"/>
          <w:sz w:val="21"/>
          <w:szCs w:val="21"/>
        </w:rPr>
        <w:t>的私域流量池，</w:t>
      </w:r>
      <w:r>
        <w:rPr>
          <w:rFonts w:hint="eastAsia" w:ascii="微软雅黑" w:hAnsi="微软雅黑" w:eastAsia="微软雅黑"/>
          <w:sz w:val="21"/>
          <w:szCs w:val="21"/>
        </w:rPr>
        <w:t>成为</w:t>
      </w:r>
      <w:r>
        <w:rPr>
          <w:rFonts w:ascii="微软雅黑" w:hAnsi="微软雅黑" w:eastAsia="微软雅黑"/>
          <w:sz w:val="21"/>
          <w:szCs w:val="21"/>
        </w:rPr>
        <w:t>当下</w:t>
      </w:r>
      <w:r>
        <w:rPr>
          <w:rFonts w:hint="eastAsia" w:ascii="微软雅黑" w:hAnsi="微软雅黑" w:eastAsia="微软雅黑"/>
          <w:sz w:val="21"/>
          <w:szCs w:val="21"/>
        </w:rPr>
        <w:t>银行</w:t>
      </w:r>
      <w:r>
        <w:rPr>
          <w:rFonts w:ascii="微软雅黑" w:hAnsi="微软雅黑" w:eastAsia="微软雅黑"/>
          <w:sz w:val="21"/>
          <w:szCs w:val="21"/>
        </w:rPr>
        <w:t>传播</w:t>
      </w:r>
      <w:r>
        <w:rPr>
          <w:rFonts w:hint="eastAsia" w:ascii="微软雅黑" w:hAnsi="微软雅黑" w:eastAsia="微软雅黑"/>
          <w:sz w:val="21"/>
          <w:szCs w:val="21"/>
        </w:rPr>
        <w:t>品牌</w:t>
      </w:r>
      <w:r>
        <w:rPr>
          <w:rFonts w:ascii="微软雅黑" w:hAnsi="微软雅黑" w:eastAsia="微软雅黑"/>
          <w:sz w:val="21"/>
          <w:szCs w:val="21"/>
        </w:rPr>
        <w:t>、</w:t>
      </w:r>
      <w:r>
        <w:rPr>
          <w:rFonts w:hint="eastAsia" w:ascii="微软雅黑" w:hAnsi="微软雅黑" w:eastAsia="微软雅黑"/>
          <w:sz w:val="21"/>
          <w:szCs w:val="21"/>
        </w:rPr>
        <w:t>沉淀有效</w:t>
      </w:r>
      <w:r>
        <w:rPr>
          <w:rFonts w:ascii="微软雅黑" w:hAnsi="微软雅黑" w:eastAsia="微软雅黑"/>
          <w:sz w:val="21"/>
          <w:szCs w:val="21"/>
        </w:rPr>
        <w:t>流量、培育</w:t>
      </w:r>
      <w:r>
        <w:rPr>
          <w:rFonts w:hint="eastAsia" w:ascii="微软雅黑" w:hAnsi="微软雅黑" w:eastAsia="微软雅黑"/>
          <w:sz w:val="21"/>
          <w:szCs w:val="21"/>
        </w:rPr>
        <w:t>忠诚</w:t>
      </w:r>
      <w:r>
        <w:rPr>
          <w:rFonts w:ascii="微软雅黑" w:hAnsi="微软雅黑" w:eastAsia="微软雅黑"/>
          <w:sz w:val="21"/>
          <w:szCs w:val="21"/>
        </w:rPr>
        <w:t>用户的重要手段。</w:t>
      </w:r>
      <w:r>
        <w:rPr>
          <w:rFonts w:hint="eastAsia" w:ascii="微软雅黑" w:hAnsi="微软雅黑" w:eastAsia="微软雅黑"/>
          <w:sz w:val="21"/>
          <w:szCs w:val="21"/>
        </w:rPr>
        <w:t>通过筛选种子用户，结合</w:t>
      </w:r>
      <w:r>
        <w:rPr>
          <w:rFonts w:ascii="微软雅黑" w:hAnsi="微软雅黑" w:eastAsia="微软雅黑"/>
          <w:sz w:val="21"/>
          <w:szCs w:val="21"/>
        </w:rPr>
        <w:t>MGM</w:t>
      </w:r>
      <w:r>
        <w:rPr>
          <w:rFonts w:hint="eastAsia" w:ascii="微软雅黑" w:hAnsi="微软雅黑" w:eastAsia="微软雅黑"/>
          <w:sz w:val="21"/>
          <w:szCs w:val="21"/>
        </w:rPr>
        <w:t>（用户带用户）的运营模式，培养一批</w:t>
      </w:r>
      <w:r>
        <w:rPr>
          <w:rFonts w:ascii="微软雅黑" w:hAnsi="微软雅黑" w:eastAsia="微软雅黑"/>
          <w:sz w:val="21"/>
          <w:szCs w:val="21"/>
        </w:rPr>
        <w:t>品牌的</w:t>
      </w:r>
      <w:r>
        <w:rPr>
          <w:rFonts w:hint="eastAsia" w:ascii="微软雅黑" w:hAnsi="微软雅黑" w:eastAsia="微软雅黑"/>
          <w:sz w:val="21"/>
          <w:szCs w:val="21"/>
        </w:rPr>
        <w:t>忠实粉丝，促使用户</w:t>
      </w:r>
      <w:r>
        <w:rPr>
          <w:rFonts w:ascii="微软雅黑" w:hAnsi="微软雅黑" w:eastAsia="微软雅黑"/>
          <w:sz w:val="21"/>
          <w:szCs w:val="21"/>
        </w:rPr>
        <w:t>产生</w:t>
      </w:r>
      <w:r>
        <w:rPr>
          <w:rFonts w:hint="eastAsia" w:ascii="微软雅黑" w:hAnsi="微软雅黑" w:eastAsia="微软雅黑"/>
          <w:sz w:val="21"/>
          <w:szCs w:val="21"/>
        </w:rPr>
        <w:t>裂变，可以以低成本</w:t>
      </w:r>
      <w:r>
        <w:rPr>
          <w:rFonts w:ascii="微软雅黑" w:hAnsi="微软雅黑" w:eastAsia="微软雅黑"/>
          <w:sz w:val="21"/>
          <w:szCs w:val="21"/>
        </w:rPr>
        <w:t>的</w:t>
      </w:r>
      <w:r>
        <w:rPr>
          <w:rFonts w:hint="eastAsia" w:ascii="微软雅黑" w:hAnsi="微软雅黑" w:eastAsia="微软雅黑"/>
          <w:sz w:val="21"/>
          <w:szCs w:val="21"/>
        </w:rPr>
        <w:t>投入带来更多的用户、</w:t>
      </w:r>
      <w:r>
        <w:rPr>
          <w:rFonts w:ascii="微软雅黑" w:hAnsi="微软雅黑" w:eastAsia="微软雅黑"/>
          <w:sz w:val="21"/>
          <w:szCs w:val="21"/>
        </w:rPr>
        <w:t>更高的利润</w:t>
      </w:r>
      <w:r>
        <w:rPr>
          <w:rFonts w:hint="eastAsia" w:ascii="微软雅黑" w:hAnsi="微软雅黑" w:eastAsia="微软雅黑"/>
          <w:sz w:val="21"/>
          <w:szCs w:val="21"/>
        </w:rPr>
        <w:t>，并筑成自有品牌</w:t>
      </w:r>
      <w:r>
        <w:rPr>
          <w:rFonts w:ascii="微软雅黑" w:hAnsi="微软雅黑" w:eastAsia="微软雅黑"/>
          <w:sz w:val="21"/>
          <w:szCs w:val="21"/>
        </w:rPr>
        <w:t>的流量护城河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1、建立杭州银行直销银行人脉圈</w:t>
      </w:r>
      <w:r>
        <w:rPr>
          <w:rFonts w:ascii="微软雅黑" w:hAnsi="微软雅黑" w:eastAsia="微软雅黑"/>
          <w:sz w:val="21"/>
          <w:szCs w:val="21"/>
        </w:rPr>
        <w:t>MGM</w:t>
      </w:r>
      <w:r>
        <w:rPr>
          <w:rFonts w:hint="eastAsia" w:ascii="微软雅黑" w:hAnsi="微软雅黑" w:eastAsia="微软雅黑"/>
          <w:sz w:val="21"/>
          <w:szCs w:val="21"/>
        </w:rPr>
        <w:t>裂变营销模式；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1"/>
          <w:szCs w:val="21"/>
        </w:rPr>
        <w:t>2、新增</w:t>
      </w:r>
      <w:r>
        <w:rPr>
          <w:rFonts w:ascii="微软雅黑" w:hAnsi="微软雅黑" w:eastAsia="微软雅黑"/>
          <w:sz w:val="21"/>
          <w:szCs w:val="21"/>
        </w:rPr>
        <w:t>6</w:t>
      </w:r>
      <w:r>
        <w:rPr>
          <w:rFonts w:hint="eastAsia" w:ascii="微软雅黑" w:hAnsi="微软雅黑" w:eastAsia="微软雅黑"/>
          <w:sz w:val="21"/>
          <w:szCs w:val="21"/>
        </w:rPr>
        <w:t>万户种子用户，人均发展新客户2位</w:t>
      </w:r>
      <w:r>
        <w:rPr>
          <w:rFonts w:ascii="微软雅黑" w:hAnsi="微软雅黑" w:eastAsia="微软雅黑"/>
          <w:sz w:val="21"/>
          <w:szCs w:val="21"/>
        </w:rPr>
        <w:t>，</w:t>
      </w:r>
      <w:r>
        <w:rPr>
          <w:rFonts w:hint="eastAsia" w:ascii="微软雅黑" w:hAnsi="微软雅黑" w:eastAsia="微软雅黑"/>
          <w:sz w:val="21"/>
          <w:szCs w:val="21"/>
        </w:rPr>
        <w:t>累计财富销售</w:t>
      </w:r>
      <w:r>
        <w:rPr>
          <w:rFonts w:ascii="微软雅黑" w:hAnsi="微软雅黑" w:eastAsia="微软雅黑"/>
          <w:sz w:val="21"/>
          <w:szCs w:val="21"/>
        </w:rPr>
        <w:t>8</w:t>
      </w:r>
      <w:r>
        <w:rPr>
          <w:rFonts w:hint="eastAsia" w:ascii="微软雅黑" w:hAnsi="微软雅黑" w:eastAsia="微软雅黑"/>
          <w:sz w:val="21"/>
          <w:szCs w:val="21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策略与创意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1、圈层化营销：</w:t>
      </w:r>
      <w:r>
        <w:rPr>
          <w:rFonts w:hint="eastAsia" w:ascii="微软雅黑" w:hAnsi="微软雅黑" w:eastAsia="微软雅黑"/>
          <w:sz w:val="21"/>
          <w:szCs w:val="21"/>
        </w:rPr>
        <w:t>聚集</w:t>
      </w:r>
      <w:r>
        <w:rPr>
          <w:rFonts w:ascii="微软雅黑" w:hAnsi="微软雅黑" w:eastAsia="微软雅黑"/>
          <w:sz w:val="21"/>
          <w:szCs w:val="21"/>
        </w:rPr>
        <w:t>种子用户，通过</w:t>
      </w:r>
      <w:r>
        <w:rPr>
          <w:rFonts w:hint="eastAsia" w:ascii="微软雅黑" w:hAnsi="微软雅黑" w:eastAsia="微软雅黑"/>
          <w:sz w:val="21"/>
          <w:szCs w:val="21"/>
        </w:rPr>
        <w:t>点亮</w:t>
      </w:r>
      <w:r>
        <w:rPr>
          <w:rFonts w:ascii="微软雅黑" w:hAnsi="微软雅黑" w:eastAsia="微软雅黑"/>
          <w:sz w:val="21"/>
          <w:szCs w:val="21"/>
        </w:rPr>
        <w:t>“</w:t>
      </w:r>
      <w:r>
        <w:rPr>
          <w:rFonts w:hint="eastAsia" w:ascii="微软雅黑" w:hAnsi="微软雅黑" w:eastAsia="微软雅黑"/>
          <w:sz w:val="21"/>
          <w:szCs w:val="21"/>
        </w:rPr>
        <w:t>人脉财主</w:t>
      </w:r>
      <w:r>
        <w:rPr>
          <w:rFonts w:ascii="微软雅黑" w:hAnsi="微软雅黑" w:eastAsia="微软雅黑"/>
          <w:sz w:val="21"/>
          <w:szCs w:val="21"/>
        </w:rPr>
        <w:t>”</w:t>
      </w:r>
      <w:r>
        <w:rPr>
          <w:rFonts w:hint="eastAsia" w:ascii="微软雅黑" w:hAnsi="微软雅黑" w:eastAsia="微软雅黑"/>
          <w:sz w:val="21"/>
          <w:szCs w:val="21"/>
        </w:rPr>
        <w:t>强化</w:t>
      </w:r>
      <w:r>
        <w:rPr>
          <w:rFonts w:ascii="微软雅黑" w:hAnsi="微软雅黑" w:eastAsia="微软雅黑"/>
          <w:sz w:val="21"/>
          <w:szCs w:val="21"/>
        </w:rPr>
        <w:t>身份认同和</w:t>
      </w:r>
      <w:r>
        <w:rPr>
          <w:rFonts w:hint="eastAsia" w:ascii="微软雅黑" w:hAnsi="微软雅黑" w:eastAsia="微软雅黑"/>
          <w:sz w:val="21"/>
          <w:szCs w:val="21"/>
        </w:rPr>
        <w:t>品牌</w:t>
      </w:r>
      <w:r>
        <w:rPr>
          <w:rFonts w:ascii="微软雅黑" w:hAnsi="微软雅黑" w:eastAsia="微软雅黑"/>
          <w:sz w:val="21"/>
          <w:szCs w:val="21"/>
        </w:rPr>
        <w:t>感知，</w:t>
      </w:r>
      <w:r>
        <w:rPr>
          <w:rFonts w:hint="eastAsia" w:ascii="微软雅黑" w:hAnsi="微软雅黑" w:eastAsia="微软雅黑"/>
          <w:sz w:val="21"/>
          <w:szCs w:val="21"/>
        </w:rPr>
        <w:t>针对</w:t>
      </w:r>
      <w:r>
        <w:rPr>
          <w:rFonts w:ascii="微软雅黑" w:hAnsi="微软雅黑" w:eastAsia="微软雅黑"/>
          <w:sz w:val="21"/>
          <w:szCs w:val="21"/>
        </w:rPr>
        <w:t>“</w:t>
      </w:r>
      <w:r>
        <w:rPr>
          <w:rFonts w:hint="eastAsia" w:ascii="微软雅黑" w:hAnsi="微软雅黑" w:eastAsia="微软雅黑"/>
          <w:sz w:val="21"/>
          <w:szCs w:val="21"/>
        </w:rPr>
        <w:t>人脉财主</w:t>
      </w:r>
      <w:r>
        <w:rPr>
          <w:rFonts w:ascii="微软雅黑" w:hAnsi="微软雅黑" w:eastAsia="微软雅黑"/>
          <w:sz w:val="21"/>
          <w:szCs w:val="21"/>
        </w:rPr>
        <w:t>”</w:t>
      </w:r>
      <w:r>
        <w:rPr>
          <w:rFonts w:hint="eastAsia" w:ascii="微软雅黑" w:hAnsi="微软雅黑" w:eastAsia="微软雅黑"/>
          <w:sz w:val="21"/>
          <w:szCs w:val="21"/>
        </w:rPr>
        <w:t>客群</w:t>
      </w:r>
      <w:r>
        <w:rPr>
          <w:rFonts w:ascii="微软雅黑" w:hAnsi="微软雅黑" w:eastAsia="微软雅黑"/>
          <w:sz w:val="21"/>
          <w:szCs w:val="21"/>
        </w:rPr>
        <w:t>，</w:t>
      </w:r>
      <w:r>
        <w:rPr>
          <w:rFonts w:hint="eastAsia" w:ascii="微软雅黑" w:hAnsi="微软雅黑" w:eastAsia="微软雅黑"/>
          <w:sz w:val="21"/>
          <w:szCs w:val="21"/>
        </w:rPr>
        <w:t>设置专属</w:t>
      </w:r>
      <w:r>
        <w:rPr>
          <w:rFonts w:ascii="微软雅黑" w:hAnsi="微软雅黑" w:eastAsia="微软雅黑"/>
          <w:sz w:val="21"/>
          <w:szCs w:val="21"/>
        </w:rPr>
        <w:t>的权益体系</w:t>
      </w:r>
      <w:r>
        <w:rPr>
          <w:rFonts w:hint="eastAsia" w:ascii="微软雅黑" w:hAnsi="微软雅黑" w:eastAsia="微软雅黑"/>
          <w:sz w:val="21"/>
          <w:szCs w:val="21"/>
        </w:rPr>
        <w:t>和业务</w:t>
      </w:r>
      <w:r>
        <w:rPr>
          <w:rFonts w:ascii="微软雅黑" w:hAnsi="微软雅黑" w:eastAsia="微软雅黑"/>
          <w:sz w:val="21"/>
          <w:szCs w:val="21"/>
        </w:rPr>
        <w:t>指标导向的行为</w:t>
      </w:r>
      <w:r>
        <w:rPr>
          <w:rFonts w:hint="eastAsia" w:ascii="微软雅黑" w:hAnsi="微软雅黑" w:eastAsia="微软雅黑"/>
          <w:sz w:val="21"/>
          <w:szCs w:val="21"/>
        </w:rPr>
        <w:t>激励机制，在</w:t>
      </w:r>
      <w:r>
        <w:rPr>
          <w:rFonts w:ascii="微软雅黑" w:hAnsi="微软雅黑" w:eastAsia="微软雅黑"/>
          <w:sz w:val="21"/>
          <w:szCs w:val="21"/>
        </w:rPr>
        <w:t>人脉</w:t>
      </w:r>
      <w:r>
        <w:rPr>
          <w:rFonts w:hint="eastAsia" w:ascii="微软雅黑" w:hAnsi="微软雅黑" w:eastAsia="微软雅黑"/>
          <w:sz w:val="21"/>
          <w:szCs w:val="21"/>
        </w:rPr>
        <w:t>圈</w:t>
      </w:r>
      <w:r>
        <w:rPr>
          <w:rFonts w:ascii="微软雅黑" w:hAnsi="微软雅黑" w:eastAsia="微软雅黑"/>
          <w:sz w:val="21"/>
          <w:szCs w:val="21"/>
        </w:rPr>
        <w:t>中</w:t>
      </w:r>
      <w:r>
        <w:rPr>
          <w:rFonts w:hint="eastAsia" w:ascii="微软雅黑" w:hAnsi="微软雅黑" w:eastAsia="微软雅黑"/>
          <w:sz w:val="21"/>
          <w:szCs w:val="21"/>
        </w:rPr>
        <w:t>形成</w:t>
      </w:r>
      <w:r>
        <w:rPr>
          <w:rFonts w:ascii="微软雅黑" w:hAnsi="微软雅黑" w:eastAsia="微软雅黑"/>
          <w:sz w:val="21"/>
          <w:szCs w:val="21"/>
        </w:rPr>
        <w:t>圈子文化，</w:t>
      </w:r>
      <w:r>
        <w:rPr>
          <w:rFonts w:hint="eastAsia" w:ascii="微软雅黑" w:hAnsi="微软雅黑" w:eastAsia="微软雅黑"/>
          <w:sz w:val="21"/>
          <w:szCs w:val="21"/>
        </w:rPr>
        <w:t>从而建立起“人脉圈”财富</w:t>
      </w:r>
      <w:r>
        <w:rPr>
          <w:rFonts w:ascii="微软雅黑" w:hAnsi="微软雅黑" w:eastAsia="微软雅黑"/>
          <w:sz w:val="21"/>
          <w:szCs w:val="21"/>
        </w:rPr>
        <w:t>销售</w:t>
      </w:r>
      <w:r>
        <w:rPr>
          <w:rFonts w:hint="eastAsia" w:ascii="微软雅黑" w:hAnsi="微软雅黑" w:eastAsia="微软雅黑"/>
          <w:sz w:val="21"/>
          <w:szCs w:val="21"/>
        </w:rPr>
        <w:t>裂变营销模式。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>2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、数字化运营</w:t>
      </w:r>
      <w:r>
        <w:rPr>
          <w:rFonts w:ascii="微软雅黑" w:hAnsi="微软雅黑" w:eastAsia="微软雅黑"/>
          <w:b/>
          <w:bCs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</w:rPr>
        <w:t>结合</w:t>
      </w:r>
      <w:r>
        <w:rPr>
          <w:rFonts w:ascii="微软雅黑" w:hAnsi="微软雅黑" w:eastAsia="微软雅黑"/>
          <w:sz w:val="21"/>
          <w:szCs w:val="21"/>
        </w:rPr>
        <w:t>用户价值提升路径</w:t>
      </w:r>
      <w:r>
        <w:rPr>
          <w:rFonts w:hint="eastAsia" w:ascii="微软雅黑" w:hAnsi="微软雅黑" w:eastAsia="微软雅黑"/>
          <w:sz w:val="21"/>
          <w:szCs w:val="21"/>
        </w:rPr>
        <w:t>，直销银行营销系统面向种子</w:t>
      </w:r>
      <w:r>
        <w:rPr>
          <w:rFonts w:ascii="微软雅黑" w:hAnsi="微软雅黑" w:eastAsia="微软雅黑"/>
          <w:sz w:val="21"/>
          <w:szCs w:val="21"/>
        </w:rPr>
        <w:t>用户（</w:t>
      </w:r>
      <w:r>
        <w:rPr>
          <w:rFonts w:hint="eastAsia" w:ascii="微软雅黑" w:hAnsi="微软雅黑" w:eastAsia="微软雅黑"/>
          <w:sz w:val="21"/>
          <w:szCs w:val="21"/>
        </w:rPr>
        <w:t>即</w:t>
      </w:r>
      <w:r>
        <w:rPr>
          <w:rFonts w:ascii="微软雅黑" w:hAnsi="微软雅黑" w:eastAsia="微软雅黑"/>
          <w:sz w:val="21"/>
          <w:szCs w:val="21"/>
        </w:rPr>
        <w:t>人脉财主）</w:t>
      </w:r>
      <w:r>
        <w:rPr>
          <w:rFonts w:hint="eastAsia" w:ascii="微软雅黑" w:hAnsi="微软雅黑" w:eastAsia="微软雅黑"/>
          <w:sz w:val="21"/>
          <w:szCs w:val="21"/>
        </w:rPr>
        <w:t>和</w:t>
      </w:r>
      <w:r>
        <w:rPr>
          <w:rFonts w:ascii="微软雅黑" w:hAnsi="微软雅黑" w:eastAsia="微软雅黑"/>
          <w:sz w:val="21"/>
          <w:szCs w:val="21"/>
        </w:rPr>
        <w:t>非种子用户（</w:t>
      </w:r>
      <w:r>
        <w:rPr>
          <w:rFonts w:hint="eastAsia" w:ascii="微软雅黑" w:hAnsi="微软雅黑" w:eastAsia="微软雅黑"/>
          <w:sz w:val="21"/>
          <w:szCs w:val="21"/>
        </w:rPr>
        <w:t>客户</w:t>
      </w:r>
      <w:r>
        <w:rPr>
          <w:rFonts w:ascii="微软雅黑" w:hAnsi="微软雅黑" w:eastAsia="微软雅黑"/>
          <w:sz w:val="21"/>
          <w:szCs w:val="21"/>
        </w:rPr>
        <w:t>）</w:t>
      </w:r>
      <w:r>
        <w:rPr>
          <w:rFonts w:hint="eastAsia" w:ascii="微软雅黑" w:hAnsi="微软雅黑" w:eastAsia="微软雅黑"/>
          <w:sz w:val="21"/>
          <w:szCs w:val="21"/>
        </w:rPr>
        <w:t>分别</w:t>
      </w:r>
      <w:r>
        <w:rPr>
          <w:rFonts w:ascii="微软雅黑" w:hAnsi="微软雅黑" w:eastAsia="微软雅黑"/>
          <w:sz w:val="21"/>
          <w:szCs w:val="21"/>
        </w:rPr>
        <w:t>建立</w:t>
      </w:r>
      <w:r>
        <w:rPr>
          <w:rFonts w:hint="eastAsia" w:ascii="微软雅黑" w:hAnsi="微软雅黑" w:eastAsia="微软雅黑"/>
          <w:sz w:val="21"/>
          <w:szCs w:val="21"/>
        </w:rPr>
        <w:t>了</w:t>
      </w:r>
      <w:r>
        <w:rPr>
          <w:rFonts w:ascii="微软雅黑" w:hAnsi="微软雅黑" w:eastAsia="微软雅黑"/>
          <w:sz w:val="21"/>
          <w:szCs w:val="21"/>
        </w:rPr>
        <w:t>一套</w:t>
      </w:r>
      <w:r>
        <w:rPr>
          <w:rFonts w:hint="eastAsia" w:ascii="微软雅黑" w:hAnsi="微软雅黑" w:eastAsia="微软雅黑"/>
          <w:sz w:val="21"/>
          <w:szCs w:val="21"/>
        </w:rPr>
        <w:t>标签</w:t>
      </w:r>
      <w:r>
        <w:rPr>
          <w:rFonts w:ascii="微软雅黑" w:hAnsi="微软雅黑" w:eastAsia="微软雅黑"/>
          <w:sz w:val="21"/>
          <w:szCs w:val="21"/>
        </w:rPr>
        <w:t>体系</w:t>
      </w:r>
      <w:r>
        <w:rPr>
          <w:rFonts w:hint="eastAsia" w:ascii="微软雅黑" w:hAnsi="微软雅黑" w:eastAsia="微软雅黑"/>
          <w:sz w:val="21"/>
          <w:szCs w:val="21"/>
        </w:rPr>
        <w:t>，针对不同的用户群体制定有针对性的策略，同时借助工具、规则和机制进行自动化运营，由系统判断和预测用户的种种行为，从而实现大规模用户的精细化运营，提升平均产出。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>3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、品牌化</w:t>
      </w:r>
      <w:r>
        <w:rPr>
          <w:rFonts w:ascii="微软雅黑" w:hAnsi="微软雅黑" w:eastAsia="微软雅黑"/>
          <w:b/>
          <w:bCs/>
          <w:sz w:val="21"/>
          <w:szCs w:val="21"/>
        </w:rPr>
        <w:t>传播：</w:t>
      </w:r>
      <w:r>
        <w:rPr>
          <w:rFonts w:ascii="微软雅黑" w:hAnsi="微软雅黑" w:eastAsia="微软雅黑"/>
          <w:sz w:val="21"/>
          <w:szCs w:val="21"/>
        </w:rPr>
        <w:t>直销银行</w:t>
      </w:r>
      <w:r>
        <w:rPr>
          <w:rFonts w:hint="eastAsia" w:ascii="微软雅黑" w:hAnsi="微软雅黑" w:eastAsia="微软雅黑"/>
          <w:sz w:val="21"/>
          <w:szCs w:val="21"/>
        </w:rPr>
        <w:t>尝试</w:t>
      </w:r>
      <w:r>
        <w:rPr>
          <w:rFonts w:ascii="微软雅黑" w:hAnsi="微软雅黑" w:eastAsia="微软雅黑"/>
          <w:sz w:val="21"/>
          <w:szCs w:val="21"/>
        </w:rPr>
        <w:t>各类裂变玩法，开展</w:t>
      </w:r>
      <w:r>
        <w:rPr>
          <w:rFonts w:hint="eastAsia" w:ascii="微软雅黑" w:hAnsi="微软雅黑" w:eastAsia="微软雅黑"/>
          <w:sz w:val="21"/>
          <w:szCs w:val="21"/>
        </w:rPr>
        <w:t>“</w:t>
      </w:r>
      <w:r>
        <w:rPr>
          <w:rFonts w:ascii="微软雅黑" w:hAnsi="微软雅黑" w:eastAsia="微软雅黑"/>
          <w:sz w:val="21"/>
          <w:szCs w:val="21"/>
        </w:rPr>
        <w:t>元宵共战役”、“人脉召集令”、“六周年狂欢”、“人脉再出发”、“权益的盛宴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”</w:t>
      </w:r>
      <w:r>
        <w:rPr>
          <w:rFonts w:hint="eastAsia" w:ascii="微软雅黑" w:hAnsi="微软雅黑" w:eastAsia="微软雅黑"/>
          <w:sz w:val="21"/>
          <w:szCs w:val="21"/>
        </w:rPr>
        <w:t>等</w:t>
      </w:r>
      <w:r>
        <w:rPr>
          <w:rFonts w:ascii="微软雅黑" w:hAnsi="微软雅黑" w:eastAsia="微软雅黑"/>
          <w:sz w:val="21"/>
          <w:szCs w:val="21"/>
        </w:rPr>
        <w:t>一系列主题营销活动</w:t>
      </w:r>
      <w:r>
        <w:rPr>
          <w:rFonts w:hint="eastAsia" w:ascii="微软雅黑" w:hAnsi="微软雅黑" w:eastAsia="微软雅黑"/>
          <w:sz w:val="21"/>
          <w:szCs w:val="21"/>
        </w:rPr>
        <w:t>，共同</w:t>
      </w:r>
      <w:r>
        <w:rPr>
          <w:rFonts w:ascii="微软雅黑" w:hAnsi="微软雅黑" w:eastAsia="微软雅黑"/>
          <w:sz w:val="21"/>
          <w:szCs w:val="21"/>
        </w:rPr>
        <w:t>打造</w:t>
      </w:r>
      <w:r>
        <w:rPr>
          <w:rFonts w:hint="eastAsia" w:ascii="微软雅黑" w:hAnsi="微软雅黑" w:eastAsia="微软雅黑"/>
          <w:sz w:val="21"/>
          <w:szCs w:val="21"/>
        </w:rPr>
        <w:t>“直销</w:t>
      </w:r>
      <w:r>
        <w:rPr>
          <w:rFonts w:ascii="微软雅黑" w:hAnsi="微软雅黑" w:eastAsia="微软雅黑"/>
          <w:sz w:val="21"/>
          <w:szCs w:val="21"/>
        </w:rPr>
        <w:t>88</w:t>
      </w:r>
      <w:r>
        <w:rPr>
          <w:rFonts w:hint="eastAsia" w:ascii="微软雅黑" w:hAnsi="微软雅黑" w:eastAsia="微软雅黑"/>
          <w:sz w:val="21"/>
          <w:szCs w:val="21"/>
        </w:rPr>
        <w:t>节”活动品牌，从而</w:t>
      </w:r>
      <w:r>
        <w:rPr>
          <w:rFonts w:ascii="微软雅黑" w:hAnsi="微软雅黑" w:eastAsia="微软雅黑"/>
          <w:sz w:val="21"/>
          <w:szCs w:val="21"/>
        </w:rPr>
        <w:t>形成</w:t>
      </w:r>
      <w:r>
        <w:rPr>
          <w:rFonts w:hint="eastAsia" w:ascii="微软雅黑" w:hAnsi="微软雅黑" w:eastAsia="微软雅黑"/>
          <w:sz w:val="21"/>
          <w:szCs w:val="21"/>
        </w:rPr>
        <w:t>广泛</w:t>
      </w:r>
      <w:r>
        <w:rPr>
          <w:rFonts w:ascii="微软雅黑" w:hAnsi="微软雅黑" w:eastAsia="微软雅黑"/>
          <w:sz w:val="21"/>
          <w:szCs w:val="21"/>
        </w:rPr>
        <w:t>、持续的</w:t>
      </w:r>
      <w:r>
        <w:rPr>
          <w:rFonts w:hint="eastAsia" w:ascii="微软雅黑" w:hAnsi="微软雅黑" w:eastAsia="微软雅黑"/>
          <w:sz w:val="21"/>
          <w:szCs w:val="21"/>
        </w:rPr>
        <w:t>品牌</w:t>
      </w:r>
      <w:r>
        <w:rPr>
          <w:rFonts w:ascii="微软雅黑" w:hAnsi="微软雅黑" w:eastAsia="微软雅黑"/>
          <w:sz w:val="21"/>
          <w:szCs w:val="21"/>
        </w:rPr>
        <w:t>影响力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执行过程/媒体表现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一、创意执行：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center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5246370" cy="2671445"/>
            <wp:effectExtent l="0" t="0" r="1143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center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5086350" cy="2617470"/>
            <wp:effectExtent l="0" t="0" r="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0" w:firstLineChars="0"/>
        <w:jc w:val="center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5218430" cy="2861310"/>
            <wp:effectExtent l="0" t="0" r="127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二、媒体表现：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1、用户自发在微信群、朋友圈传播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drawing>
          <wp:inline distT="0" distB="0" distL="114300" distR="114300">
            <wp:extent cx="4597400" cy="5000625"/>
            <wp:effectExtent l="0" t="0" r="1270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2、互联网媒体自发</w:t>
      </w:r>
      <w:r>
        <w:rPr>
          <w:rFonts w:ascii="微软雅黑" w:hAnsi="微软雅黑" w:eastAsia="微软雅黑"/>
          <w:sz w:val="21"/>
          <w:szCs w:val="21"/>
        </w:rPr>
        <w:t>传播活动信息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  <w:b/>
        </w:rPr>
      </w:pPr>
      <w:r>
        <w:drawing>
          <wp:inline distT="0" distB="0" distL="0" distR="0">
            <wp:extent cx="4446905" cy="3619500"/>
            <wp:effectExtent l="0" t="0" r="1079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0717" cy="36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  <w:b/>
        </w:rPr>
      </w:pPr>
      <w:r>
        <w:drawing>
          <wp:inline distT="0" distB="0" distL="0" distR="0">
            <wp:extent cx="4448175" cy="229298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0387" cy="230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营销效果与市场反馈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杭州银行直销银行人脉圈活动自20</w:t>
      </w:r>
      <w:r>
        <w:rPr>
          <w:rFonts w:ascii="微软雅黑" w:hAnsi="微软雅黑" w:eastAsia="微软雅黑"/>
          <w:sz w:val="21"/>
          <w:szCs w:val="21"/>
        </w:rPr>
        <w:t>20</w:t>
      </w:r>
      <w:r>
        <w:rPr>
          <w:rFonts w:hint="eastAsia" w:ascii="微软雅黑" w:hAnsi="微软雅黑" w:eastAsia="微软雅黑"/>
          <w:sz w:val="21"/>
          <w:szCs w:val="21"/>
        </w:rPr>
        <w:t>年</w:t>
      </w:r>
      <w:r>
        <w:rPr>
          <w:rFonts w:ascii="微软雅黑" w:hAnsi="微软雅黑" w:eastAsia="微软雅黑"/>
          <w:sz w:val="21"/>
          <w:szCs w:val="21"/>
        </w:rPr>
        <w:t>4</w:t>
      </w:r>
      <w:r>
        <w:rPr>
          <w:rFonts w:hint="eastAsia" w:ascii="微软雅黑" w:hAnsi="微软雅黑" w:eastAsia="微软雅黑"/>
          <w:sz w:val="21"/>
          <w:szCs w:val="21"/>
        </w:rPr>
        <w:t>月正式上线推广</w:t>
      </w:r>
      <w:r>
        <w:rPr>
          <w:rFonts w:ascii="微软雅黑" w:hAnsi="微软雅黑" w:eastAsia="微软雅黑"/>
          <w:sz w:val="21"/>
          <w:szCs w:val="21"/>
        </w:rPr>
        <w:t>，</w:t>
      </w:r>
      <w:r>
        <w:rPr>
          <w:rFonts w:hint="eastAsia" w:ascii="微软雅黑" w:hAnsi="微软雅黑" w:eastAsia="微软雅黑"/>
          <w:sz w:val="21"/>
          <w:szCs w:val="21"/>
        </w:rPr>
        <w:t>截至12月</w:t>
      </w:r>
      <w:r>
        <w:rPr>
          <w:rFonts w:ascii="微软雅黑" w:hAnsi="微软雅黑" w:eastAsia="微软雅黑"/>
          <w:sz w:val="21"/>
          <w:szCs w:val="21"/>
        </w:rPr>
        <w:t>31</w:t>
      </w:r>
      <w:r>
        <w:rPr>
          <w:rFonts w:hint="eastAsia" w:ascii="微软雅黑" w:hAnsi="微软雅黑" w:eastAsia="微软雅黑"/>
          <w:sz w:val="21"/>
          <w:szCs w:val="21"/>
        </w:rPr>
        <w:t>日</w:t>
      </w:r>
      <w:r>
        <w:rPr>
          <w:rFonts w:ascii="微软雅黑" w:hAnsi="微软雅黑" w:eastAsia="微软雅黑"/>
          <w:sz w:val="21"/>
          <w:szCs w:val="21"/>
        </w:rPr>
        <w:t>，共发展</w:t>
      </w:r>
      <w:r>
        <w:rPr>
          <w:rFonts w:hint="eastAsia" w:ascii="微软雅黑" w:hAnsi="微软雅黑" w:eastAsia="微软雅黑"/>
          <w:sz w:val="21"/>
          <w:szCs w:val="21"/>
        </w:rPr>
        <w:t>种子</w:t>
      </w:r>
      <w:r>
        <w:rPr>
          <w:rFonts w:ascii="微软雅黑" w:hAnsi="微软雅黑" w:eastAsia="微软雅黑"/>
          <w:sz w:val="21"/>
          <w:szCs w:val="21"/>
        </w:rPr>
        <w:t>用户（</w:t>
      </w:r>
      <w:r>
        <w:rPr>
          <w:rFonts w:hint="eastAsia" w:ascii="微软雅黑" w:hAnsi="微软雅黑" w:eastAsia="微软雅黑"/>
          <w:sz w:val="21"/>
          <w:szCs w:val="21"/>
        </w:rPr>
        <w:t>即</w:t>
      </w:r>
      <w:r>
        <w:rPr>
          <w:rFonts w:ascii="微软雅黑" w:hAnsi="微软雅黑" w:eastAsia="微软雅黑"/>
          <w:sz w:val="21"/>
          <w:szCs w:val="21"/>
        </w:rPr>
        <w:t>人脉财主）</w:t>
      </w:r>
      <w:r>
        <w:rPr>
          <w:rFonts w:hint="eastAsia" w:ascii="微软雅黑" w:hAnsi="微软雅黑" w:eastAsia="微软雅黑"/>
          <w:sz w:val="21"/>
          <w:szCs w:val="21"/>
        </w:rPr>
        <w:t>6.89万</w:t>
      </w:r>
      <w:r>
        <w:rPr>
          <w:rFonts w:ascii="微软雅黑" w:hAnsi="微软雅黑" w:eastAsia="微软雅黑"/>
          <w:sz w:val="21"/>
          <w:szCs w:val="21"/>
        </w:rPr>
        <w:t>人，</w:t>
      </w:r>
      <w:r>
        <w:rPr>
          <w:rFonts w:hint="eastAsia" w:ascii="微软雅黑" w:hAnsi="微软雅黑" w:eastAsia="微软雅黑"/>
          <w:sz w:val="21"/>
          <w:szCs w:val="21"/>
        </w:rPr>
        <w:t>发展新客户注册</w:t>
      </w:r>
      <w:r>
        <w:rPr>
          <w:rFonts w:ascii="微软雅黑" w:hAnsi="微软雅黑" w:eastAsia="微软雅黑"/>
          <w:sz w:val="21"/>
          <w:szCs w:val="21"/>
        </w:rPr>
        <w:t>直销银行电子账户共计</w:t>
      </w:r>
      <w:r>
        <w:rPr>
          <w:rFonts w:hint="eastAsia" w:ascii="微软雅黑" w:hAnsi="微软雅黑" w:eastAsia="微软雅黑"/>
          <w:sz w:val="21"/>
          <w:szCs w:val="21"/>
        </w:rPr>
        <w:t>12.55万人</w:t>
      </w:r>
      <w:r>
        <w:rPr>
          <w:rFonts w:ascii="微软雅黑" w:hAnsi="微软雅黑" w:eastAsia="微软雅黑"/>
          <w:sz w:val="21"/>
          <w:szCs w:val="21"/>
        </w:rPr>
        <w:t>，</w:t>
      </w:r>
      <w:r>
        <w:rPr>
          <w:rFonts w:hint="eastAsia" w:ascii="微软雅黑" w:hAnsi="微软雅黑" w:eastAsia="微软雅黑"/>
          <w:sz w:val="21"/>
          <w:szCs w:val="21"/>
        </w:rPr>
        <w:t>维系</w:t>
      </w:r>
      <w:r>
        <w:rPr>
          <w:rFonts w:ascii="微软雅黑" w:hAnsi="微软雅黑" w:eastAsia="微软雅黑"/>
          <w:sz w:val="21"/>
          <w:szCs w:val="21"/>
        </w:rPr>
        <w:t>月日均资产</w:t>
      </w:r>
      <w:r>
        <w:rPr>
          <w:rFonts w:hint="eastAsia" w:ascii="微软雅黑" w:hAnsi="微软雅黑" w:eastAsia="微软雅黑"/>
          <w:sz w:val="21"/>
          <w:szCs w:val="21"/>
        </w:rPr>
        <w:t>1.69亿元</w:t>
      </w:r>
      <w:r>
        <w:rPr>
          <w:rFonts w:ascii="微软雅黑" w:hAnsi="微软雅黑" w:eastAsia="微软雅黑"/>
          <w:sz w:val="21"/>
          <w:szCs w:val="21"/>
        </w:rPr>
        <w:t>，累计促进财富产品销售</w:t>
      </w:r>
      <w:r>
        <w:rPr>
          <w:rFonts w:hint="eastAsia" w:ascii="微软雅黑" w:hAnsi="微软雅黑" w:eastAsia="微软雅黑"/>
          <w:sz w:val="21"/>
          <w:szCs w:val="21"/>
        </w:rPr>
        <w:t>8.4万</w:t>
      </w:r>
      <w:r>
        <w:rPr>
          <w:rFonts w:ascii="微软雅黑" w:hAnsi="微软雅黑" w:eastAsia="微软雅黑"/>
          <w:sz w:val="21"/>
          <w:szCs w:val="21"/>
        </w:rPr>
        <w:t>笔，财富销售</w:t>
      </w:r>
      <w:r>
        <w:rPr>
          <w:rFonts w:hint="eastAsia" w:ascii="微软雅黑" w:hAnsi="微软雅黑" w:eastAsia="微软雅黑"/>
          <w:sz w:val="21"/>
          <w:szCs w:val="21"/>
        </w:rPr>
        <w:t>额超8亿元， APP日活增长10%，</w:t>
      </w:r>
      <w:r>
        <w:rPr>
          <w:rFonts w:ascii="微软雅黑" w:hAnsi="微软雅黑" w:eastAsia="微软雅黑"/>
          <w:sz w:val="21"/>
          <w:szCs w:val="21"/>
        </w:rPr>
        <w:t>培育了一批忠实的粉丝客户</w:t>
      </w:r>
      <w:r>
        <w:rPr>
          <w:rFonts w:hint="eastAsia" w:ascii="微软雅黑" w:hAnsi="微软雅黑" w:eastAsia="微软雅黑"/>
          <w:sz w:val="21"/>
          <w:szCs w:val="21"/>
        </w:rPr>
        <w:t>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rPr>
          <w:rFonts w:ascii="微软雅黑" w:hAnsi="微软雅黑" w:eastAsia="微软雅黑"/>
          <w:color w:val="FF000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E"/>
    <w:rsid w:val="00001203"/>
    <w:rsid w:val="00020E7A"/>
    <w:rsid w:val="00024497"/>
    <w:rsid w:val="00025434"/>
    <w:rsid w:val="00046CF7"/>
    <w:rsid w:val="000532E1"/>
    <w:rsid w:val="00056E4C"/>
    <w:rsid w:val="0006079A"/>
    <w:rsid w:val="000631F9"/>
    <w:rsid w:val="00065FF0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09C2"/>
    <w:rsid w:val="000D6DC9"/>
    <w:rsid w:val="000E10C0"/>
    <w:rsid w:val="000E18A5"/>
    <w:rsid w:val="000E2A45"/>
    <w:rsid w:val="000F07ED"/>
    <w:rsid w:val="000F4F10"/>
    <w:rsid w:val="000F5168"/>
    <w:rsid w:val="000F543B"/>
    <w:rsid w:val="000F63B2"/>
    <w:rsid w:val="00106EA3"/>
    <w:rsid w:val="0010732C"/>
    <w:rsid w:val="00113C85"/>
    <w:rsid w:val="00113FF2"/>
    <w:rsid w:val="00114DD5"/>
    <w:rsid w:val="00117D66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1468"/>
    <w:rsid w:val="001C4334"/>
    <w:rsid w:val="001C59F2"/>
    <w:rsid w:val="001D11F3"/>
    <w:rsid w:val="001D1226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243C5"/>
    <w:rsid w:val="0023746F"/>
    <w:rsid w:val="002405B6"/>
    <w:rsid w:val="00250580"/>
    <w:rsid w:val="00252186"/>
    <w:rsid w:val="00254D78"/>
    <w:rsid w:val="00255B1F"/>
    <w:rsid w:val="00262A77"/>
    <w:rsid w:val="002707E7"/>
    <w:rsid w:val="00270EF0"/>
    <w:rsid w:val="002712AF"/>
    <w:rsid w:val="00274F8A"/>
    <w:rsid w:val="00277255"/>
    <w:rsid w:val="002826E2"/>
    <w:rsid w:val="00290500"/>
    <w:rsid w:val="00292E28"/>
    <w:rsid w:val="002A004E"/>
    <w:rsid w:val="002A44B4"/>
    <w:rsid w:val="002B0CDA"/>
    <w:rsid w:val="002B1A41"/>
    <w:rsid w:val="002B1FC2"/>
    <w:rsid w:val="002D0BF2"/>
    <w:rsid w:val="002D29E6"/>
    <w:rsid w:val="002E57FD"/>
    <w:rsid w:val="002E7E41"/>
    <w:rsid w:val="002F2AF3"/>
    <w:rsid w:val="002F3A4B"/>
    <w:rsid w:val="002F7E7A"/>
    <w:rsid w:val="003056B8"/>
    <w:rsid w:val="00311DCD"/>
    <w:rsid w:val="00312674"/>
    <w:rsid w:val="00317BD4"/>
    <w:rsid w:val="00320A52"/>
    <w:rsid w:val="00320B24"/>
    <w:rsid w:val="003219F7"/>
    <w:rsid w:val="00326386"/>
    <w:rsid w:val="00334623"/>
    <w:rsid w:val="003548BE"/>
    <w:rsid w:val="00357DA0"/>
    <w:rsid w:val="00361FEC"/>
    <w:rsid w:val="00362043"/>
    <w:rsid w:val="00365FAB"/>
    <w:rsid w:val="00371D9E"/>
    <w:rsid w:val="00371F8B"/>
    <w:rsid w:val="0038213E"/>
    <w:rsid w:val="00386E93"/>
    <w:rsid w:val="0038758A"/>
    <w:rsid w:val="003A2FD7"/>
    <w:rsid w:val="003A3097"/>
    <w:rsid w:val="003A3802"/>
    <w:rsid w:val="003B24D7"/>
    <w:rsid w:val="003B69CD"/>
    <w:rsid w:val="003C78A2"/>
    <w:rsid w:val="003E22D6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15F28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545"/>
    <w:rsid w:val="00491A67"/>
    <w:rsid w:val="00492C50"/>
    <w:rsid w:val="004A4904"/>
    <w:rsid w:val="004B5209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16614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94350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5F3181"/>
    <w:rsid w:val="00606B31"/>
    <w:rsid w:val="006126FE"/>
    <w:rsid w:val="00613CE9"/>
    <w:rsid w:val="00620E1E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16A7"/>
    <w:rsid w:val="006C1733"/>
    <w:rsid w:val="006C1899"/>
    <w:rsid w:val="006D2064"/>
    <w:rsid w:val="006D4934"/>
    <w:rsid w:val="006D5766"/>
    <w:rsid w:val="006E5B49"/>
    <w:rsid w:val="006F421E"/>
    <w:rsid w:val="006F6277"/>
    <w:rsid w:val="006F662D"/>
    <w:rsid w:val="007040B0"/>
    <w:rsid w:val="00710B89"/>
    <w:rsid w:val="00715AD3"/>
    <w:rsid w:val="00716B53"/>
    <w:rsid w:val="0072102A"/>
    <w:rsid w:val="00724B30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95402"/>
    <w:rsid w:val="007A0451"/>
    <w:rsid w:val="007B2D27"/>
    <w:rsid w:val="007C0828"/>
    <w:rsid w:val="007C1CA7"/>
    <w:rsid w:val="007C3F70"/>
    <w:rsid w:val="007C4C7A"/>
    <w:rsid w:val="007D5451"/>
    <w:rsid w:val="007D76B6"/>
    <w:rsid w:val="007E2B9D"/>
    <w:rsid w:val="007E2F2B"/>
    <w:rsid w:val="007F6422"/>
    <w:rsid w:val="0080439E"/>
    <w:rsid w:val="00812085"/>
    <w:rsid w:val="00812A8A"/>
    <w:rsid w:val="00813515"/>
    <w:rsid w:val="008159A4"/>
    <w:rsid w:val="008202A6"/>
    <w:rsid w:val="00820C09"/>
    <w:rsid w:val="00820DAE"/>
    <w:rsid w:val="00823822"/>
    <w:rsid w:val="00825032"/>
    <w:rsid w:val="00832432"/>
    <w:rsid w:val="008326D5"/>
    <w:rsid w:val="00833986"/>
    <w:rsid w:val="0085593D"/>
    <w:rsid w:val="0085738D"/>
    <w:rsid w:val="008612D4"/>
    <w:rsid w:val="008674D7"/>
    <w:rsid w:val="00880022"/>
    <w:rsid w:val="00880993"/>
    <w:rsid w:val="008875A4"/>
    <w:rsid w:val="008B2200"/>
    <w:rsid w:val="008B689B"/>
    <w:rsid w:val="008C2693"/>
    <w:rsid w:val="008E6215"/>
    <w:rsid w:val="008F2CAF"/>
    <w:rsid w:val="00902EA3"/>
    <w:rsid w:val="009033AD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325C6"/>
    <w:rsid w:val="00946CB6"/>
    <w:rsid w:val="009573AC"/>
    <w:rsid w:val="00970C56"/>
    <w:rsid w:val="0097433A"/>
    <w:rsid w:val="00976708"/>
    <w:rsid w:val="0098226A"/>
    <w:rsid w:val="009823A9"/>
    <w:rsid w:val="00982411"/>
    <w:rsid w:val="00983853"/>
    <w:rsid w:val="009849FB"/>
    <w:rsid w:val="00993AA4"/>
    <w:rsid w:val="009B0E2C"/>
    <w:rsid w:val="009B796F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186A"/>
    <w:rsid w:val="00A33FC6"/>
    <w:rsid w:val="00A35C7F"/>
    <w:rsid w:val="00A3778A"/>
    <w:rsid w:val="00A37970"/>
    <w:rsid w:val="00A44A15"/>
    <w:rsid w:val="00A51A67"/>
    <w:rsid w:val="00A52343"/>
    <w:rsid w:val="00A54EAE"/>
    <w:rsid w:val="00A56181"/>
    <w:rsid w:val="00A56433"/>
    <w:rsid w:val="00A57B51"/>
    <w:rsid w:val="00A631B1"/>
    <w:rsid w:val="00A67871"/>
    <w:rsid w:val="00A71293"/>
    <w:rsid w:val="00A71CB7"/>
    <w:rsid w:val="00A72FFF"/>
    <w:rsid w:val="00A73B4E"/>
    <w:rsid w:val="00A74660"/>
    <w:rsid w:val="00A77663"/>
    <w:rsid w:val="00A829A2"/>
    <w:rsid w:val="00A83F45"/>
    <w:rsid w:val="00A849B8"/>
    <w:rsid w:val="00A86FCA"/>
    <w:rsid w:val="00A876CD"/>
    <w:rsid w:val="00A87DBF"/>
    <w:rsid w:val="00AA7396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22B1"/>
    <w:rsid w:val="00B24DCC"/>
    <w:rsid w:val="00B25274"/>
    <w:rsid w:val="00B27391"/>
    <w:rsid w:val="00B35B50"/>
    <w:rsid w:val="00B36BD0"/>
    <w:rsid w:val="00B40318"/>
    <w:rsid w:val="00B40529"/>
    <w:rsid w:val="00B413D5"/>
    <w:rsid w:val="00B5241D"/>
    <w:rsid w:val="00B54EBC"/>
    <w:rsid w:val="00B71E01"/>
    <w:rsid w:val="00B7428F"/>
    <w:rsid w:val="00B8660A"/>
    <w:rsid w:val="00B93BD6"/>
    <w:rsid w:val="00B93E3B"/>
    <w:rsid w:val="00B943BF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302D1"/>
    <w:rsid w:val="00C40E03"/>
    <w:rsid w:val="00C50047"/>
    <w:rsid w:val="00C5015C"/>
    <w:rsid w:val="00C516C8"/>
    <w:rsid w:val="00C60E2C"/>
    <w:rsid w:val="00C657FA"/>
    <w:rsid w:val="00C71553"/>
    <w:rsid w:val="00C73B42"/>
    <w:rsid w:val="00C746F5"/>
    <w:rsid w:val="00C8735A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CF207E"/>
    <w:rsid w:val="00CF74DB"/>
    <w:rsid w:val="00D04770"/>
    <w:rsid w:val="00D13BC3"/>
    <w:rsid w:val="00D14F03"/>
    <w:rsid w:val="00D409BB"/>
    <w:rsid w:val="00D5007A"/>
    <w:rsid w:val="00D5598B"/>
    <w:rsid w:val="00D56BD0"/>
    <w:rsid w:val="00D63679"/>
    <w:rsid w:val="00D64C72"/>
    <w:rsid w:val="00D6725D"/>
    <w:rsid w:val="00D71A2E"/>
    <w:rsid w:val="00D731FC"/>
    <w:rsid w:val="00D80973"/>
    <w:rsid w:val="00DB3708"/>
    <w:rsid w:val="00DB4C4A"/>
    <w:rsid w:val="00DC32E7"/>
    <w:rsid w:val="00DC397E"/>
    <w:rsid w:val="00DD33B1"/>
    <w:rsid w:val="00DD56E4"/>
    <w:rsid w:val="00DE5436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60CF7"/>
    <w:rsid w:val="00E60DF3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B2524"/>
    <w:rsid w:val="00EC320D"/>
    <w:rsid w:val="00EC4DA4"/>
    <w:rsid w:val="00EC6379"/>
    <w:rsid w:val="00ED105E"/>
    <w:rsid w:val="00ED2205"/>
    <w:rsid w:val="00ED507C"/>
    <w:rsid w:val="00ED6A0F"/>
    <w:rsid w:val="00EE38CD"/>
    <w:rsid w:val="00EE6D2C"/>
    <w:rsid w:val="00EE72D7"/>
    <w:rsid w:val="00F0134F"/>
    <w:rsid w:val="00F0209F"/>
    <w:rsid w:val="00F16305"/>
    <w:rsid w:val="00F22C99"/>
    <w:rsid w:val="00F35569"/>
    <w:rsid w:val="00F3618F"/>
    <w:rsid w:val="00F4008B"/>
    <w:rsid w:val="00F41E61"/>
    <w:rsid w:val="00F503C8"/>
    <w:rsid w:val="00F56689"/>
    <w:rsid w:val="00F71F98"/>
    <w:rsid w:val="00F821BF"/>
    <w:rsid w:val="00F853FB"/>
    <w:rsid w:val="00FA4FF9"/>
    <w:rsid w:val="00FB3C62"/>
    <w:rsid w:val="00FB6FEC"/>
    <w:rsid w:val="00FC3853"/>
    <w:rsid w:val="00FC53DE"/>
    <w:rsid w:val="00FC58F3"/>
    <w:rsid w:val="00FC629F"/>
    <w:rsid w:val="00FC74F1"/>
    <w:rsid w:val="00FC7652"/>
    <w:rsid w:val="00FC7AC8"/>
    <w:rsid w:val="00FD2192"/>
    <w:rsid w:val="00FD7838"/>
    <w:rsid w:val="00FD7E55"/>
    <w:rsid w:val="00FE1360"/>
    <w:rsid w:val="00FE497C"/>
    <w:rsid w:val="00FE70B2"/>
    <w:rsid w:val="00FE7398"/>
    <w:rsid w:val="08020BD6"/>
    <w:rsid w:val="7EA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4">
    <w:name w:val="Plain Text"/>
    <w:basedOn w:val="1"/>
    <w:uiPriority w:val="0"/>
    <w:rPr>
      <w:rFonts w:ascii="Arial" w:hAnsi="Arial" w:cs="Times New Roman"/>
      <w:sz w:val="18"/>
      <w:szCs w:val="20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7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Normal (Web)"/>
    <w:basedOn w:val="1"/>
    <w:uiPriority w:val="99"/>
    <w:pPr>
      <w:spacing w:before="100" w:beforeAutospacing="1" w:after="100" w:afterAutospacing="1"/>
    </w:pPr>
    <w:rPr>
      <w:rFonts w:cs="Times New Roman"/>
      <w:szCs w:val="20"/>
    </w:rPr>
  </w:style>
  <w:style w:type="paragraph" w:styleId="9">
    <w:name w:val="Title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uiPriority w:val="0"/>
    <w:rPr>
      <w:color w:val="0000FF"/>
      <w:u w:val="single"/>
    </w:rPr>
  </w:style>
  <w:style w:type="character" w:customStyle="1" w:styleId="17">
    <w:name w:val="标题 Char"/>
    <w:basedOn w:val="12"/>
    <w:link w:val="9"/>
    <w:uiPriority w:val="0"/>
    <w:rPr>
      <w:b/>
      <w:sz w:val="28"/>
      <w:lang w:eastAsia="en-US"/>
    </w:rPr>
  </w:style>
  <w:style w:type="character" w:customStyle="1" w:styleId="18">
    <w:name w:val="bottom1"/>
    <w:basedOn w:val="12"/>
    <w:uiPriority w:val="0"/>
    <w:rPr>
      <w:color w:val="6E6E6E"/>
    </w:rPr>
  </w:style>
  <w:style w:type="character" w:customStyle="1" w:styleId="19">
    <w:name w:val="apple-converted-space"/>
    <w:basedOn w:val="12"/>
    <w:uiPriority w:val="0"/>
  </w:style>
  <w:style w:type="character" w:customStyle="1" w:styleId="20">
    <w:name w:val="apple-style-span"/>
    <w:basedOn w:val="12"/>
    <w:uiPriority w:val="0"/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22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3">
    <w:name w:val="css"/>
    <w:basedOn w:val="1"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4">
    <w:name w:val="清單段落"/>
    <w:basedOn w:val="1"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5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6">
    <w:name w:val="样式 Main Body Text + (西文) 仿宋_GB2312 (中文) 仿宋_GB2312 (符号) 宋体 小五..."/>
    <w:uiPriority w:val="99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E1F6F-1558-4864-8E81-4E7AFB282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280</Words>
  <Characters>1598</Characters>
  <Lines>13</Lines>
  <Paragraphs>3</Paragraphs>
  <TotalTime>0</TotalTime>
  <ScaleCrop>false</ScaleCrop>
  <LinksUpToDate>false</LinksUpToDate>
  <CharactersWithSpaces>1875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2015-11-23T07:28:00Z</dcterms:created>
  <dc:creator>雨林木风</dc:creator>
  <cp:lastModifiedBy>韩旭</cp:lastModifiedBy>
  <cp:lastPrinted>2012-10-11T08:46:00Z</cp:lastPrinted>
  <dcterms:modified xsi:type="dcterms:W3CDTF">2021-02-03T07:10:32Z</dcterms:modified>
  <dc:title>No</dc:title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