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5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bCs/>
          <w:color w:val="EAB300"/>
          <w:sz w:val="32"/>
          <w:szCs w:val="32"/>
        </w:rPr>
      </w:pPr>
      <w:r>
        <w:rPr>
          <w:rFonts w:ascii="微软雅黑" w:hAnsi="微软雅黑" w:eastAsia="微软雅黑"/>
          <w:b/>
          <w:bCs/>
          <w:sz w:val="32"/>
          <w:szCs w:val="32"/>
        </w:rPr>
        <w:t>WEY品牌818汽车夜项目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WEY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bCs/>
          <w:sz w:val="21"/>
          <w:szCs w:val="21"/>
        </w:rPr>
        <w:t>汽车行业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ascii="微软雅黑" w:hAnsi="微软雅黑" w:eastAsia="微软雅黑"/>
          <w:sz w:val="21"/>
          <w:szCs w:val="21"/>
        </w:rPr>
        <w:t>7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28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08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31</w:t>
      </w:r>
    </w:p>
    <w:p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智能营销类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t>疫情过后，汽车零售市场由于陆续复工复课家庭购车和换车需求持续释放，拉动车市持续走强</w:t>
      </w:r>
      <w:r>
        <w:rPr>
          <w:rFonts w:hint="eastAsia" w:ascii="微软雅黑" w:hAnsi="微软雅黑" w:eastAsia="微软雅黑"/>
          <w:bCs/>
          <w:sz w:val="21"/>
          <w:szCs w:val="21"/>
        </w:rPr>
        <w:t>，预估</w:t>
      </w:r>
      <w:r>
        <w:rPr>
          <w:rFonts w:ascii="微软雅黑" w:hAnsi="微软雅黑" w:eastAsia="微软雅黑"/>
          <w:bCs/>
          <w:sz w:val="21"/>
          <w:szCs w:val="21"/>
        </w:rPr>
        <w:t>7-8月整体车市将持续V型回升。</w:t>
      </w:r>
      <w:r>
        <w:rPr>
          <w:rFonts w:hint="eastAsia" w:ascii="微软雅黑" w:hAnsi="微软雅黑" w:eastAsia="微软雅黑"/>
          <w:bCs/>
          <w:sz w:val="21"/>
          <w:szCs w:val="21"/>
        </w:rPr>
        <w:t>但同时，WEY品牌销量低迷，品牌认知度不足，无法将智能、豪华等产品关键词传递给目标客户。为达成全年销量翻番及自主品牌豪华车领导者的行业地位，急需一场声势浩大的营销行为。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营销目标</w:t>
      </w:r>
    </w:p>
    <w:p>
      <w:pPr>
        <w:pStyle w:val="24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与大型IP进行合作，共创品牌事件</w:t>
      </w:r>
    </w:p>
    <w:p>
      <w:pPr>
        <w:pStyle w:val="24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打开上端开口，通过顶级内容提升品牌认知</w:t>
      </w:r>
    </w:p>
    <w:p>
      <w:pPr>
        <w:pStyle w:val="24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全年销量达成超过</w:t>
      </w:r>
      <w:r>
        <w:rPr>
          <w:rFonts w:ascii="微软雅黑" w:hAnsi="微软雅黑" w:eastAsia="微软雅黑"/>
          <w:szCs w:val="21"/>
        </w:rPr>
        <w:t>10</w:t>
      </w:r>
      <w:r>
        <w:rPr>
          <w:rFonts w:hint="eastAsia" w:ascii="微软雅黑" w:hAnsi="微软雅黑" w:eastAsia="微软雅黑"/>
          <w:szCs w:val="21"/>
        </w:rPr>
        <w:t>万台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策略一：垂直媒体与湖南卫视台网联动，高</w:t>
      </w:r>
      <w:r>
        <w:rPr>
          <w:rFonts w:ascii="微软雅黑" w:hAnsi="微软雅黑" w:eastAsia="微软雅黑"/>
          <w:bCs/>
          <w:sz w:val="21"/>
          <w:szCs w:val="21"/>
        </w:rPr>
        <w:t>曝光扩开口；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策略二：配合车型上市节奏，顶</w:t>
      </w:r>
      <w:r>
        <w:rPr>
          <w:rFonts w:ascii="微软雅黑" w:hAnsi="微软雅黑" w:eastAsia="微软雅黑"/>
          <w:bCs/>
          <w:sz w:val="21"/>
          <w:szCs w:val="21"/>
        </w:rPr>
        <w:t>级内容</w:t>
      </w:r>
      <w:r>
        <w:rPr>
          <w:rFonts w:hint="eastAsia" w:ascii="微软雅黑" w:hAnsi="微软雅黑" w:eastAsia="微软雅黑"/>
          <w:bCs/>
          <w:sz w:val="21"/>
          <w:szCs w:val="21"/>
        </w:rPr>
        <w:t>丰富</w:t>
      </w:r>
      <w:r>
        <w:rPr>
          <w:rFonts w:ascii="微软雅黑" w:hAnsi="微软雅黑" w:eastAsia="微软雅黑"/>
          <w:bCs/>
          <w:sz w:val="21"/>
          <w:szCs w:val="21"/>
        </w:rPr>
        <w:t>呈现；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策略三：</w:t>
      </w:r>
      <w:r>
        <w:rPr>
          <w:rFonts w:hint="eastAsia" w:ascii="微软雅黑" w:hAnsi="微软雅黑" w:eastAsia="微软雅黑"/>
          <w:b/>
          <w:bCs w:val="0"/>
          <w:sz w:val="21"/>
          <w:szCs w:val="21"/>
        </w:rPr>
        <w:t>线上VR车展</w:t>
      </w:r>
      <w:r>
        <w:rPr>
          <w:rFonts w:hint="eastAsia" w:ascii="微软雅黑" w:hAnsi="微软雅黑" w:eastAsia="微软雅黑"/>
          <w:bCs/>
          <w:sz w:val="21"/>
          <w:szCs w:val="21"/>
        </w:rPr>
        <w:t>，</w:t>
      </w:r>
      <w:r>
        <w:rPr>
          <w:rFonts w:ascii="微软雅黑" w:hAnsi="微软雅黑" w:eastAsia="微软雅黑"/>
          <w:bCs/>
          <w:sz w:val="21"/>
          <w:szCs w:val="21"/>
        </w:rPr>
        <w:t>头部势能转化</w:t>
      </w:r>
      <w:r>
        <w:rPr>
          <w:rFonts w:hint="eastAsia" w:ascii="微软雅黑" w:hAnsi="微软雅黑" w:eastAsia="微软雅黑"/>
          <w:bCs/>
          <w:sz w:val="21"/>
          <w:szCs w:val="21"/>
        </w:rPr>
        <w:t>，打通购买全链路，品效双收。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Autospacing="0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创意一：晚会中车型以AR技术独特亮相，全方位展现核心卖点；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创意二：多维度内容产出，全</w:t>
      </w:r>
      <w:r>
        <w:rPr>
          <w:rFonts w:ascii="微软雅黑" w:hAnsi="微软雅黑" w:eastAsia="微软雅黑"/>
          <w:bCs/>
          <w:sz w:val="21"/>
          <w:szCs w:val="21"/>
        </w:rPr>
        <w:t>面覆盖用户逛、看、听、聊、买全环节</w:t>
      </w:r>
      <w:r>
        <w:rPr>
          <w:rFonts w:hint="eastAsia" w:ascii="微软雅黑" w:hAnsi="微软雅黑" w:eastAsia="微软雅黑"/>
          <w:bCs/>
          <w:sz w:val="21"/>
          <w:szCs w:val="21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创意三：</w:t>
      </w:r>
      <w:r>
        <w:rPr>
          <w:rFonts w:ascii="微软雅黑" w:hAnsi="微软雅黑" w:eastAsia="微软雅黑"/>
          <w:bCs/>
          <w:sz w:val="21"/>
          <w:szCs w:val="21"/>
        </w:rPr>
        <w:t>搭建高定制化品牌3D展馆，全系产品露出，各维度展现车量信息，全力释放优惠政策，强力聚合线索留资及转化</w:t>
      </w:r>
      <w:r>
        <w:rPr>
          <w:rFonts w:hint="eastAsia" w:ascii="微软雅黑" w:hAnsi="微软雅黑" w:eastAsia="微软雅黑"/>
          <w:bCs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执行过程/媒体表现</w:t>
      </w:r>
    </w:p>
    <w:p>
      <w:pPr>
        <w:pStyle w:val="24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bCs w:val="0"/>
          <w:szCs w:val="21"/>
        </w:rPr>
      </w:pPr>
      <w:r>
        <w:rPr>
          <w:rFonts w:ascii="微软雅黑" w:hAnsi="微软雅黑" w:eastAsia="微软雅黑"/>
          <w:b/>
          <w:bCs w:val="0"/>
          <w:szCs w:val="21"/>
        </w:rPr>
        <w:t>高曝光扩开口：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在这场</w:t>
      </w:r>
      <w:r>
        <w:rPr>
          <w:rFonts w:ascii="微软雅黑" w:hAnsi="微软雅黑" w:eastAsia="微软雅黑"/>
          <w:bCs/>
          <w:sz w:val="21"/>
          <w:szCs w:val="21"/>
        </w:rPr>
        <w:t>汽车之家与湖南卫视联袂打造顶级盛宴中</w:t>
      </w:r>
      <w:r>
        <w:rPr>
          <w:rFonts w:hint="eastAsia" w:ascii="微软雅黑" w:hAnsi="微软雅黑" w:eastAsia="微软雅黑"/>
          <w:bCs/>
          <w:sz w:val="21"/>
          <w:szCs w:val="21"/>
        </w:rPr>
        <w:t>，2</w:t>
      </w:r>
      <w:r>
        <w:rPr>
          <w:rFonts w:ascii="微软雅黑" w:hAnsi="微软雅黑" w:eastAsia="微软雅黑"/>
          <w:bCs/>
          <w:sz w:val="21"/>
          <w:szCs w:val="21"/>
        </w:rPr>
        <w:t>021</w:t>
      </w:r>
      <w:r>
        <w:rPr>
          <w:rFonts w:hint="eastAsia" w:ascii="微软雅黑" w:hAnsi="微软雅黑" w:eastAsia="微软雅黑"/>
          <w:bCs/>
          <w:sz w:val="21"/>
          <w:szCs w:val="21"/>
        </w:rPr>
        <w:t>款VV</w:t>
      </w:r>
      <w:r>
        <w:rPr>
          <w:rFonts w:ascii="微软雅黑" w:hAnsi="微软雅黑" w:eastAsia="微软雅黑"/>
          <w:bCs/>
          <w:sz w:val="21"/>
          <w:szCs w:val="21"/>
        </w:rPr>
        <w:t>6</w:t>
      </w:r>
      <w:r>
        <w:rPr>
          <w:rFonts w:hint="eastAsia" w:ascii="微软雅黑" w:hAnsi="微软雅黑" w:eastAsia="微软雅黑"/>
          <w:bCs/>
          <w:sz w:val="21"/>
          <w:szCs w:val="21"/>
        </w:rPr>
        <w:t>通过AR技术在晚会展现车型核心产品力，主持人沈梦辰、李锐口播VV</w:t>
      </w:r>
      <w:r>
        <w:rPr>
          <w:rFonts w:ascii="微软雅黑" w:hAnsi="微软雅黑" w:eastAsia="微软雅黑"/>
          <w:bCs/>
          <w:sz w:val="21"/>
          <w:szCs w:val="21"/>
        </w:rPr>
        <w:t>6</w:t>
      </w:r>
      <w:r>
        <w:rPr>
          <w:rFonts w:hint="eastAsia" w:ascii="微软雅黑" w:hAnsi="微软雅黑" w:eastAsia="微软雅黑"/>
          <w:bCs/>
          <w:sz w:val="21"/>
          <w:szCs w:val="21"/>
        </w:rPr>
        <w:t>核心卖点，晚会中插播放VV</w:t>
      </w:r>
      <w:r>
        <w:rPr>
          <w:rFonts w:ascii="微软雅黑" w:hAnsi="微软雅黑" w:eastAsia="微软雅黑"/>
          <w:bCs/>
          <w:sz w:val="21"/>
          <w:szCs w:val="21"/>
        </w:rPr>
        <w:t xml:space="preserve">6 </w:t>
      </w:r>
      <w:r>
        <w:rPr>
          <w:rFonts w:hint="eastAsia" w:ascii="微软雅黑" w:hAnsi="微软雅黑" w:eastAsia="微软雅黑"/>
          <w:bCs/>
          <w:sz w:val="21"/>
          <w:szCs w:val="21"/>
        </w:rPr>
        <w:t>TVC，产品多次曝光充</w:t>
      </w:r>
      <w:r>
        <w:rPr>
          <w:rFonts w:ascii="微软雅黑" w:hAnsi="微软雅黑" w:eastAsia="微软雅黑"/>
          <w:bCs/>
          <w:sz w:val="21"/>
          <w:szCs w:val="21"/>
        </w:rPr>
        <w:t>分扩张上端开口，品牌抢占流量阵地，优质车型实力圈粉；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drawing>
          <wp:inline distT="0" distB="0" distL="114300" distR="114300">
            <wp:extent cx="5720715" cy="3568700"/>
            <wp:effectExtent l="0" t="0" r="1333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bCs w:val="0"/>
          <w:szCs w:val="21"/>
        </w:rPr>
      </w:pPr>
      <w:r>
        <w:rPr>
          <w:rFonts w:hint="eastAsia" w:ascii="微软雅黑" w:hAnsi="微软雅黑" w:eastAsia="微软雅黑"/>
          <w:b/>
          <w:bCs w:val="0"/>
          <w:szCs w:val="21"/>
        </w:rPr>
        <w:t>顶</w:t>
      </w:r>
      <w:r>
        <w:rPr>
          <w:rFonts w:ascii="微软雅黑" w:hAnsi="微软雅黑" w:eastAsia="微软雅黑"/>
          <w:b/>
          <w:bCs w:val="0"/>
          <w:szCs w:val="21"/>
        </w:rPr>
        <w:t>级内容呈现：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t>联合台、网、星三方资源，</w:t>
      </w:r>
      <w:r>
        <w:rPr>
          <w:rFonts w:hint="eastAsia" w:ascii="微软雅黑" w:hAnsi="微软雅黑" w:eastAsia="微软雅黑"/>
          <w:bCs/>
          <w:sz w:val="21"/>
          <w:szCs w:val="21"/>
        </w:rPr>
        <w:t>同时</w:t>
      </w:r>
      <w:r>
        <w:rPr>
          <w:rFonts w:ascii="微软雅黑" w:hAnsi="微软雅黑" w:eastAsia="微软雅黑"/>
          <w:bCs/>
          <w:sz w:val="21"/>
          <w:szCs w:val="21"/>
        </w:rPr>
        <w:t>配合</w:t>
      </w:r>
      <w:r>
        <w:rPr>
          <w:rFonts w:hint="eastAsia" w:ascii="微软雅黑" w:hAnsi="微软雅黑" w:eastAsia="微软雅黑"/>
          <w:bCs/>
          <w:sz w:val="21"/>
          <w:szCs w:val="21"/>
        </w:rPr>
        <w:t>车型营销</w:t>
      </w:r>
      <w:r>
        <w:rPr>
          <w:rFonts w:ascii="微软雅黑" w:hAnsi="微软雅黑" w:eastAsia="微软雅黑"/>
          <w:bCs/>
          <w:sz w:val="21"/>
          <w:szCs w:val="21"/>
        </w:rPr>
        <w:t>节奏，</w:t>
      </w:r>
      <w:r>
        <w:rPr>
          <w:rFonts w:hint="eastAsia" w:ascii="微软雅黑" w:hAnsi="微软雅黑" w:eastAsia="微软雅黑"/>
          <w:bCs/>
          <w:sz w:val="21"/>
          <w:szCs w:val="21"/>
        </w:rPr>
        <w:t>按节奏产出海报、长图，打</w:t>
      </w:r>
      <w:r>
        <w:rPr>
          <w:rFonts w:ascii="微软雅黑" w:hAnsi="微软雅黑" w:eastAsia="微软雅黑"/>
          <w:bCs/>
          <w:sz w:val="21"/>
          <w:szCs w:val="21"/>
        </w:rPr>
        <w:t>造爆款营销物料矩阵，有序有效释放品牌实力及产品优势，全面专业解读，强势种草用户；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drawing>
          <wp:inline distT="0" distB="0" distL="0" distR="0">
            <wp:extent cx="5720715" cy="2928620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drawing>
          <wp:inline distT="0" distB="0" distL="114300" distR="114300">
            <wp:extent cx="3173730" cy="2216785"/>
            <wp:effectExtent l="0" t="0" r="762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bCs w:val="0"/>
          <w:szCs w:val="21"/>
        </w:rPr>
      </w:pPr>
      <w:r>
        <w:rPr>
          <w:rFonts w:ascii="微软雅黑" w:hAnsi="微软雅黑" w:eastAsia="微软雅黑"/>
          <w:b/>
          <w:bCs w:val="0"/>
          <w:szCs w:val="21"/>
        </w:rPr>
        <w:t>头部势能转化：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通过晚会聚</w:t>
      </w:r>
      <w:bookmarkStart w:id="0" w:name="_GoBack"/>
      <w:bookmarkEnd w:id="0"/>
      <w:r>
        <w:rPr>
          <w:rFonts w:ascii="微软雅黑" w:hAnsi="微软雅黑" w:eastAsia="微软雅黑"/>
          <w:bCs/>
          <w:sz w:val="21"/>
          <w:szCs w:val="21"/>
        </w:rPr>
        <w:t>拢高关注并持续导流网上车展WEY展台，</w:t>
      </w:r>
      <w:r>
        <w:rPr>
          <w:rFonts w:hint="eastAsia" w:ascii="微软雅黑" w:hAnsi="微软雅黑" w:eastAsia="微软雅黑"/>
          <w:bCs/>
          <w:sz w:val="21"/>
          <w:szCs w:val="21"/>
        </w:rPr>
        <w:t>定制化3D展台展示WEY品牌全系车型及政策信息，</w:t>
      </w:r>
      <w:r>
        <w:rPr>
          <w:rFonts w:ascii="微软雅黑" w:hAnsi="微软雅黑" w:eastAsia="微软雅黑"/>
          <w:bCs/>
          <w:sz w:val="21"/>
          <w:szCs w:val="21"/>
        </w:rPr>
        <w:t>打造声量→解读→引导的完整解决方案，包围消费者转化链路，层层深化沟通，促进品牌正向解读效果下的顺畅转化。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drawing>
          <wp:inline distT="0" distB="0" distL="0" distR="0">
            <wp:extent cx="4222750" cy="2607945"/>
            <wp:effectExtent l="0" t="0" r="6350" b="190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drawing>
          <wp:inline distT="0" distB="0" distL="0" distR="0">
            <wp:extent cx="1646555" cy="2662555"/>
            <wp:effectExtent l="0" t="0" r="10795" b="444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营销效果与市场反馈</w:t>
      </w:r>
    </w:p>
    <w:p>
      <w:pPr>
        <w:pStyle w:val="24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AR技术助力</w:t>
      </w:r>
      <w:r>
        <w:rPr>
          <w:rFonts w:hint="eastAsia" w:ascii="微软雅黑" w:hAnsi="微软雅黑" w:eastAsia="微软雅黑"/>
          <w:szCs w:val="21"/>
        </w:rPr>
        <w:t>W</w:t>
      </w:r>
      <w:r>
        <w:rPr>
          <w:rFonts w:ascii="微软雅黑" w:hAnsi="微软雅黑" w:eastAsia="微软雅黑"/>
          <w:szCs w:val="21"/>
        </w:rPr>
        <w:t>EY</w:t>
      </w:r>
      <w:r>
        <w:rPr>
          <w:rFonts w:hint="eastAsia" w:ascii="微软雅黑" w:hAnsi="微软雅黑" w:eastAsia="微软雅黑"/>
          <w:szCs w:val="21"/>
        </w:rPr>
        <w:t>全球汽车夜晚会成功举办，提升品牌认知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sz w:val="21"/>
          <w:szCs w:val="21"/>
        </w:rPr>
        <w:t>现场完成</w:t>
      </w:r>
      <w:r>
        <w:rPr>
          <w:rFonts w:ascii="微软雅黑" w:hAnsi="微软雅黑" w:eastAsia="微软雅黑"/>
          <w:sz w:val="21"/>
          <w:szCs w:val="21"/>
        </w:rPr>
        <w:t>21款VV6新车舞台亮相</w:t>
      </w:r>
      <w:r>
        <w:rPr>
          <w:rFonts w:hint="eastAsia" w:ascii="微软雅黑" w:hAnsi="微软雅黑" w:eastAsia="微软雅黑"/>
          <w:sz w:val="21"/>
          <w:szCs w:val="21"/>
        </w:rPr>
        <w:t>、6次TVC播放，由</w:t>
      </w:r>
      <w:r>
        <w:rPr>
          <w:rFonts w:ascii="微软雅黑" w:hAnsi="微软雅黑" w:eastAsia="微软雅黑"/>
          <w:sz w:val="21"/>
          <w:szCs w:val="21"/>
        </w:rPr>
        <w:t>汽车之家、芒果TV、爱奇艺等6大平台联合进行全网直播</w:t>
      </w:r>
      <w:r>
        <w:rPr>
          <w:rFonts w:hint="eastAsia" w:ascii="微软雅黑" w:hAnsi="微软雅黑" w:eastAsia="微软雅黑"/>
          <w:sz w:val="21"/>
          <w:szCs w:val="21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、</w:t>
      </w:r>
      <w:r>
        <w:rPr>
          <w:rFonts w:ascii="微软雅黑" w:hAnsi="微软雅黑" w:eastAsia="微软雅黑"/>
          <w:sz w:val="21"/>
          <w:szCs w:val="21"/>
        </w:rPr>
        <w:t>晚会全网播放量破2.6亿，互动次数高达657.7万次，微博指数飙升1300%”</w:t>
      </w:r>
      <w:r>
        <w:rPr>
          <w:rFonts w:hint="eastAsia" w:ascii="微软雅黑" w:hAnsi="微软雅黑" w:eastAsia="微软雅黑"/>
          <w:sz w:val="21"/>
          <w:szCs w:val="21"/>
        </w:rPr>
        <w:t>，品牌声量显著提升；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3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sz w:val="21"/>
          <w:szCs w:val="21"/>
        </w:rPr>
        <w:t>晚会相关</w:t>
      </w:r>
      <w:r>
        <w:rPr>
          <w:rFonts w:ascii="微软雅黑" w:hAnsi="微软雅黑" w:eastAsia="微软雅黑"/>
          <w:sz w:val="21"/>
          <w:szCs w:val="21"/>
        </w:rPr>
        <w:t>内容共有65家汽车媒体、72家娱乐媒体、87家新闻媒体进行报道，</w:t>
      </w:r>
      <w:r>
        <w:rPr>
          <w:rFonts w:hint="eastAsia" w:ascii="微软雅黑" w:hAnsi="微软雅黑" w:eastAsia="微软雅黑"/>
          <w:sz w:val="21"/>
          <w:szCs w:val="21"/>
        </w:rPr>
        <w:t>推动</w:t>
      </w:r>
      <w:r>
        <w:rPr>
          <w:rFonts w:ascii="微软雅黑" w:hAnsi="微软雅黑" w:eastAsia="微软雅黑"/>
          <w:sz w:val="21"/>
          <w:szCs w:val="21"/>
        </w:rPr>
        <w:t>汽车之家平台逛展人数</w:t>
      </w:r>
      <w:r>
        <w:rPr>
          <w:rFonts w:hint="eastAsia" w:ascii="微软雅黑" w:hAnsi="微软雅黑" w:eastAsia="微软雅黑"/>
          <w:sz w:val="21"/>
          <w:szCs w:val="21"/>
        </w:rPr>
        <w:t>突</w:t>
      </w:r>
      <w:r>
        <w:rPr>
          <w:rFonts w:ascii="微软雅黑" w:hAnsi="微软雅黑" w:eastAsia="微软雅黑"/>
          <w:sz w:val="21"/>
          <w:szCs w:val="21"/>
        </w:rPr>
        <w:t>破9500万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pStyle w:val="24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搭建WEY</w:t>
      </w:r>
      <w:r>
        <w:rPr>
          <w:rFonts w:ascii="微软雅黑" w:hAnsi="微软雅黑" w:eastAsia="微软雅黑"/>
          <w:szCs w:val="21"/>
        </w:rPr>
        <w:t>品牌3D展馆</w:t>
      </w:r>
      <w:r>
        <w:rPr>
          <w:rFonts w:hint="eastAsia" w:ascii="微软雅黑" w:hAnsi="微软雅黑" w:eastAsia="微软雅黑"/>
          <w:szCs w:val="21"/>
        </w:rPr>
        <w:t>，以智能营销手段促进转化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线上</w:t>
      </w:r>
      <w:r>
        <w:rPr>
          <w:rFonts w:ascii="微软雅黑" w:hAnsi="微软雅黑" w:eastAsia="微软雅黑"/>
          <w:sz w:val="21"/>
          <w:szCs w:val="21"/>
        </w:rPr>
        <w:t>定制化品牌3D展馆，全系产品12辆参展车露出，多维度展现车型信息，全力释放优惠政策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累计进入展馆用户共计6000万次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用户平均浏览WEY品牌展馆时长约156秒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1D00CD"/>
    <w:multiLevelType w:val="multilevel"/>
    <w:tmpl w:val="251D00CD"/>
    <w:lvl w:ilvl="0" w:tentative="0">
      <w:start w:val="1"/>
      <w:numFmt w:val="japaneseCounting"/>
      <w:lvlText w:val="%1、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84A5B7B"/>
    <w:multiLevelType w:val="multilevel"/>
    <w:tmpl w:val="284A5B7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36B16B11"/>
    <w:multiLevelType w:val="multilevel"/>
    <w:tmpl w:val="36B16B11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83CA3"/>
    <w:rsid w:val="000915E6"/>
    <w:rsid w:val="00097129"/>
    <w:rsid w:val="000979A5"/>
    <w:rsid w:val="000A3EB7"/>
    <w:rsid w:val="000B07A2"/>
    <w:rsid w:val="000B2399"/>
    <w:rsid w:val="000B5DCB"/>
    <w:rsid w:val="000D05FE"/>
    <w:rsid w:val="000D6DC9"/>
    <w:rsid w:val="000D735C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27A2"/>
    <w:rsid w:val="00114DD5"/>
    <w:rsid w:val="001213C3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2072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484D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5BAB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2E55"/>
    <w:rsid w:val="00506B17"/>
    <w:rsid w:val="00507EB8"/>
    <w:rsid w:val="0052080E"/>
    <w:rsid w:val="0052109A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96A40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04CA"/>
    <w:rsid w:val="006126FE"/>
    <w:rsid w:val="00613CE9"/>
    <w:rsid w:val="00642F29"/>
    <w:rsid w:val="00644994"/>
    <w:rsid w:val="006469EB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0119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0C22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046F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3426"/>
    <w:rsid w:val="0085738D"/>
    <w:rsid w:val="008612D4"/>
    <w:rsid w:val="008674D7"/>
    <w:rsid w:val="00880022"/>
    <w:rsid w:val="008875A4"/>
    <w:rsid w:val="008B2200"/>
    <w:rsid w:val="008B29BC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47E17"/>
    <w:rsid w:val="00947E21"/>
    <w:rsid w:val="009573AC"/>
    <w:rsid w:val="00967430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2185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0D06"/>
    <w:rsid w:val="00B35B50"/>
    <w:rsid w:val="00B36BD0"/>
    <w:rsid w:val="00B40529"/>
    <w:rsid w:val="00B413D5"/>
    <w:rsid w:val="00B5241D"/>
    <w:rsid w:val="00B54EBC"/>
    <w:rsid w:val="00B71E01"/>
    <w:rsid w:val="00B87255"/>
    <w:rsid w:val="00B929BC"/>
    <w:rsid w:val="00B93BD6"/>
    <w:rsid w:val="00B93E3B"/>
    <w:rsid w:val="00BA0329"/>
    <w:rsid w:val="00BA29E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47E28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804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50F6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4547E"/>
    <w:rsid w:val="00F503C8"/>
    <w:rsid w:val="00F56689"/>
    <w:rsid w:val="00F769F5"/>
    <w:rsid w:val="00F821BF"/>
    <w:rsid w:val="00F853FB"/>
    <w:rsid w:val="00FA4971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0FE7B3B"/>
    <w:rsid w:val="5DBE1E02"/>
    <w:rsid w:val="691E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uiPriority w:val="99"/>
  </w:style>
  <w:style w:type="paragraph" w:styleId="4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uiPriority w:val="99"/>
    <w:rPr>
      <w:sz w:val="18"/>
      <w:szCs w:val="18"/>
    </w:rPr>
  </w:style>
  <w:style w:type="paragraph" w:styleId="7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uiPriority w:val="99"/>
    <w:rPr>
      <w:b/>
      <w:bCs/>
    </w:rPr>
  </w:style>
  <w:style w:type="table" w:styleId="13">
    <w:name w:val="Table Grid"/>
    <w:basedOn w:val="12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uiPriority w:val="0"/>
    <w:rPr>
      <w:b/>
      <w:sz w:val="28"/>
      <w:lang w:eastAsia="en-US"/>
    </w:rPr>
  </w:style>
  <w:style w:type="character" w:customStyle="1" w:styleId="21">
    <w:name w:val="bottom1"/>
    <w:basedOn w:val="14"/>
    <w:uiPriority w:val="0"/>
    <w:rPr>
      <w:color w:val="6E6E6E"/>
    </w:rPr>
  </w:style>
  <w:style w:type="character" w:customStyle="1" w:styleId="22">
    <w:name w:val="apple-converted-space"/>
    <w:basedOn w:val="14"/>
    <w:uiPriority w:val="0"/>
  </w:style>
  <w:style w:type="character" w:customStyle="1" w:styleId="23">
    <w:name w:val="apple-style-span"/>
    <w:basedOn w:val="14"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5312DB-E6BA-A345-9FCC-E93F2CDED51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5</Pages>
  <Words>211</Words>
  <Characters>1205</Characters>
  <Lines>10</Lines>
  <Paragraphs>2</Paragraphs>
  <TotalTime>2</TotalTime>
  <ScaleCrop>false</ScaleCrop>
  <LinksUpToDate>false</LinksUpToDate>
  <CharactersWithSpaces>1414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2021-01-19T07:44:00Z</dcterms:created>
  <dc:creator>雨林木风</dc:creator>
  <cp:lastModifiedBy>韩旭</cp:lastModifiedBy>
  <cp:lastPrinted>2012-10-11T08:46:00Z</cp:lastPrinted>
  <dcterms:modified xsi:type="dcterms:W3CDTF">2021-02-03T08:53:43Z</dcterms:modified>
  <dc:title>No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