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3191D0" w14:textId="77777777" w:rsidR="00B9171D" w:rsidRDefault="00B9171D" w:rsidP="00431969">
      <w:pPr>
        <w:spacing w:beforeLines="100" w:before="240" w:afterLines="100" w:after="240"/>
        <w:jc w:val="center"/>
        <w:textAlignment w:val="baseline"/>
        <w:rPr>
          <w:rFonts w:ascii="微软雅黑" w:eastAsia="微软雅黑" w:hAnsi="微软雅黑" w:cs="Times New Roman"/>
          <w:b/>
          <w:sz w:val="32"/>
          <w:szCs w:val="32"/>
        </w:rPr>
      </w:pPr>
      <w:r w:rsidRPr="00B9171D">
        <w:rPr>
          <w:rFonts w:ascii="微软雅黑" w:eastAsia="微软雅黑" w:hAnsi="微软雅黑" w:cs="Times New Roman" w:hint="eastAsia"/>
          <w:b/>
          <w:sz w:val="32"/>
          <w:szCs w:val="32"/>
        </w:rPr>
        <w:t>京东</w:t>
      </w:r>
      <w:r w:rsidRPr="00B9171D">
        <w:rPr>
          <w:rFonts w:ascii="微软雅黑" w:eastAsia="微软雅黑" w:hAnsi="微软雅黑" w:cs="Times New Roman"/>
          <w:b/>
          <w:sz w:val="32"/>
          <w:szCs w:val="32"/>
        </w:rPr>
        <w:t>GOAL数智用户运营 助力卡西欧双十一</w:t>
      </w:r>
      <w:bookmarkStart w:id="0" w:name="_GoBack"/>
      <w:bookmarkEnd w:id="0"/>
      <w:r w:rsidRPr="00B9171D">
        <w:rPr>
          <w:rFonts w:ascii="微软雅黑" w:eastAsia="微软雅黑" w:hAnsi="微软雅黑" w:cs="Times New Roman"/>
          <w:b/>
          <w:sz w:val="32"/>
          <w:szCs w:val="32"/>
        </w:rPr>
        <w:t>营销爆发</w:t>
      </w:r>
    </w:p>
    <w:p w14:paraId="72A06F8E" w14:textId="77777777" w:rsidR="00B9171D" w:rsidRPr="001727AA" w:rsidRDefault="008B689B" w:rsidP="00B9171D">
      <w:pPr>
        <w:rPr>
          <w:rFonts w:ascii="微软雅黑" w:eastAsia="微软雅黑" w:hAnsi="微软雅黑"/>
          <w:sz w:val="21"/>
          <w:szCs w:val="21"/>
        </w:rPr>
      </w:pPr>
      <w:r w:rsidRPr="001727AA">
        <w:rPr>
          <w:rFonts w:ascii="微软雅黑" w:eastAsia="微软雅黑" w:hAnsi="微软雅黑" w:hint="eastAsia"/>
          <w:b/>
          <w:sz w:val="21"/>
          <w:szCs w:val="21"/>
        </w:rPr>
        <w:t>广 告 主：</w:t>
      </w:r>
      <w:r w:rsidR="00995A88" w:rsidRPr="001727AA">
        <w:rPr>
          <w:rFonts w:ascii="微软雅黑" w:eastAsia="微软雅黑" w:hAnsi="微软雅黑" w:hint="eastAsia"/>
          <w:sz w:val="21"/>
          <w:szCs w:val="21"/>
        </w:rPr>
        <w:t>京东、</w:t>
      </w:r>
      <w:r w:rsidR="00B9171D" w:rsidRPr="001727AA">
        <w:rPr>
          <w:rFonts w:ascii="微软雅黑" w:eastAsia="微软雅黑" w:hAnsi="微软雅黑" w:hint="eastAsia"/>
          <w:sz w:val="21"/>
          <w:szCs w:val="21"/>
        </w:rPr>
        <w:t>卡西欧（</w:t>
      </w:r>
      <w:r w:rsidR="00B9171D" w:rsidRPr="001727AA">
        <w:rPr>
          <w:rFonts w:ascii="微软雅黑" w:eastAsia="微软雅黑" w:hAnsi="微软雅黑"/>
          <w:sz w:val="21"/>
          <w:szCs w:val="21"/>
        </w:rPr>
        <w:t>CASIO）</w:t>
      </w:r>
    </w:p>
    <w:p w14:paraId="2D929ADA" w14:textId="77777777" w:rsidR="00B9171D" w:rsidRPr="001727AA" w:rsidRDefault="00B9171D" w:rsidP="00B9171D">
      <w:pPr>
        <w:textAlignment w:val="baseline"/>
        <w:rPr>
          <w:rFonts w:ascii="微软雅黑" w:eastAsia="微软雅黑" w:hAnsi="微软雅黑"/>
          <w:sz w:val="21"/>
          <w:szCs w:val="21"/>
        </w:rPr>
      </w:pPr>
      <w:r w:rsidRPr="001727AA">
        <w:rPr>
          <w:rFonts w:ascii="微软雅黑" w:eastAsia="微软雅黑" w:hAnsi="微软雅黑" w:hint="eastAsia"/>
          <w:b/>
          <w:sz w:val="21"/>
          <w:szCs w:val="21"/>
        </w:rPr>
        <w:t>所属行业：</w:t>
      </w:r>
      <w:r w:rsidRPr="001727AA">
        <w:rPr>
          <w:rFonts w:ascii="微软雅黑" w:eastAsia="微软雅黑" w:hAnsi="微软雅黑" w:hint="eastAsia"/>
          <w:sz w:val="21"/>
          <w:szCs w:val="21"/>
        </w:rPr>
        <w:t>腕表</w:t>
      </w:r>
    </w:p>
    <w:p w14:paraId="6C4B7502" w14:textId="77777777" w:rsidR="00B9171D" w:rsidRPr="001727AA" w:rsidRDefault="00B9171D" w:rsidP="00B9171D">
      <w:pPr>
        <w:textAlignment w:val="baseline"/>
        <w:rPr>
          <w:rFonts w:ascii="微软雅黑" w:eastAsia="微软雅黑" w:hAnsi="微软雅黑"/>
          <w:b/>
          <w:sz w:val="21"/>
          <w:szCs w:val="21"/>
        </w:rPr>
      </w:pPr>
      <w:r w:rsidRPr="001727AA">
        <w:rPr>
          <w:rFonts w:ascii="微软雅黑" w:eastAsia="微软雅黑" w:hAnsi="微软雅黑" w:hint="eastAsia"/>
          <w:b/>
          <w:sz w:val="21"/>
          <w:szCs w:val="21"/>
        </w:rPr>
        <w:t>执行时间：</w:t>
      </w:r>
      <w:r w:rsidRPr="001727AA">
        <w:rPr>
          <w:rFonts w:ascii="微软雅黑" w:eastAsia="微软雅黑" w:hAnsi="微软雅黑" w:hint="eastAsia"/>
          <w:sz w:val="21"/>
          <w:szCs w:val="21"/>
        </w:rPr>
        <w:t>20</w:t>
      </w:r>
      <w:r w:rsidRPr="001727AA">
        <w:rPr>
          <w:rFonts w:ascii="微软雅黑" w:eastAsia="微软雅黑" w:hAnsi="微软雅黑"/>
          <w:sz w:val="21"/>
          <w:szCs w:val="21"/>
        </w:rPr>
        <w:t>20</w:t>
      </w:r>
      <w:r w:rsidRPr="001727AA">
        <w:rPr>
          <w:rFonts w:ascii="微软雅黑" w:eastAsia="微软雅黑" w:hAnsi="微软雅黑" w:hint="eastAsia"/>
          <w:sz w:val="21"/>
          <w:szCs w:val="21"/>
        </w:rPr>
        <w:t>.08.10-1</w:t>
      </w:r>
      <w:r w:rsidRPr="001727AA">
        <w:rPr>
          <w:rFonts w:ascii="微软雅黑" w:eastAsia="微软雅黑" w:hAnsi="微软雅黑"/>
          <w:sz w:val="21"/>
          <w:szCs w:val="21"/>
        </w:rPr>
        <w:t>1</w:t>
      </w:r>
      <w:r w:rsidRPr="001727AA">
        <w:rPr>
          <w:rFonts w:ascii="微软雅黑" w:eastAsia="微软雅黑" w:hAnsi="微软雅黑" w:hint="eastAsia"/>
          <w:sz w:val="21"/>
          <w:szCs w:val="21"/>
        </w:rPr>
        <w:t>.30</w:t>
      </w:r>
    </w:p>
    <w:p w14:paraId="283EDB48" w14:textId="2ABA28C2" w:rsidR="008875A4" w:rsidRPr="00431969" w:rsidRDefault="00B9171D" w:rsidP="00431969">
      <w:pPr>
        <w:spacing w:after="240"/>
        <w:textAlignment w:val="baseline"/>
        <w:rPr>
          <w:rFonts w:ascii="微软雅黑" w:eastAsia="微软雅黑" w:hAnsi="微软雅黑" w:hint="eastAsia"/>
          <w:sz w:val="21"/>
          <w:szCs w:val="21"/>
        </w:rPr>
      </w:pPr>
      <w:r w:rsidRPr="001727AA">
        <w:rPr>
          <w:rFonts w:ascii="微软雅黑" w:eastAsia="微软雅黑" w:hAnsi="微软雅黑" w:hint="eastAsia"/>
          <w:b/>
          <w:sz w:val="21"/>
          <w:szCs w:val="21"/>
        </w:rPr>
        <w:t>参选类别：</w:t>
      </w:r>
      <w:r w:rsidR="00431969" w:rsidRPr="00431969">
        <w:rPr>
          <w:rFonts w:ascii="微软雅黑" w:eastAsia="微软雅黑" w:hAnsi="微软雅黑" w:hint="eastAsia"/>
          <w:sz w:val="21"/>
          <w:szCs w:val="21"/>
        </w:rPr>
        <w:t>电商营销类</w:t>
      </w:r>
    </w:p>
    <w:p w14:paraId="0E6F1D1F" w14:textId="77777777" w:rsidR="00B5241D" w:rsidRPr="002B1FC2" w:rsidRDefault="000631F9" w:rsidP="0043196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6689FD7C" w14:textId="77777777" w:rsidR="00B9171D" w:rsidRPr="001727AA" w:rsidRDefault="00B9171D" w:rsidP="00431969">
      <w:pPr>
        <w:spacing w:before="100" w:beforeAutospacing="1" w:after="100" w:afterAutospacing="1"/>
        <w:textAlignment w:val="baseline"/>
        <w:rPr>
          <w:rFonts w:ascii="微软雅黑" w:eastAsia="微软雅黑" w:hAnsi="微软雅黑"/>
          <w:b/>
          <w:color w:val="000000" w:themeColor="text1"/>
          <w:sz w:val="21"/>
          <w:szCs w:val="21"/>
        </w:rPr>
      </w:pPr>
      <w:r w:rsidRPr="001727AA">
        <w:rPr>
          <w:rFonts w:ascii="微软雅黑" w:eastAsia="微软雅黑" w:hAnsi="微软雅黑" w:hint="eastAsia"/>
          <w:b/>
          <w:color w:val="000000" w:themeColor="text1"/>
          <w:sz w:val="21"/>
          <w:szCs w:val="21"/>
        </w:rPr>
        <w:t>品牌介绍：</w:t>
      </w:r>
    </w:p>
    <w:p w14:paraId="4A979161" w14:textId="77042B13" w:rsidR="00B9171D" w:rsidRPr="001727AA" w:rsidRDefault="00B9171D" w:rsidP="00431969">
      <w:pPr>
        <w:spacing w:before="100" w:beforeAutospacing="1" w:after="100" w:afterAutospacing="1"/>
        <w:textAlignment w:val="baseline"/>
        <w:rPr>
          <w:rFonts w:ascii="微软雅黑" w:eastAsia="微软雅黑" w:hAnsi="微软雅黑" w:hint="eastAsia"/>
          <w:color w:val="000000" w:themeColor="text1"/>
          <w:sz w:val="21"/>
          <w:szCs w:val="21"/>
        </w:rPr>
      </w:pPr>
      <w:r w:rsidRPr="001727AA">
        <w:rPr>
          <w:rFonts w:ascii="微软雅黑" w:eastAsia="微软雅黑" w:hAnsi="微软雅黑"/>
          <w:color w:val="000000" w:themeColor="text1"/>
          <w:sz w:val="21"/>
          <w:szCs w:val="21"/>
        </w:rPr>
        <w:t>卡西欧</w:t>
      </w:r>
      <w:r w:rsidRPr="001727AA">
        <w:rPr>
          <w:rFonts w:ascii="微软雅黑" w:eastAsia="微软雅黑" w:hAnsi="微软雅黑" w:hint="eastAsia"/>
          <w:color w:val="000000" w:themeColor="text1"/>
          <w:sz w:val="21"/>
          <w:szCs w:val="21"/>
        </w:rPr>
        <w:t>计算机株式会社</w:t>
      </w:r>
      <w:r w:rsidRPr="001727AA">
        <w:rPr>
          <w:rFonts w:ascii="微软雅黑" w:eastAsia="微软雅黑" w:hAnsi="微软雅黑"/>
          <w:color w:val="000000" w:themeColor="text1"/>
          <w:sz w:val="21"/>
          <w:szCs w:val="21"/>
        </w:rPr>
        <w:t>（CASIO</w:t>
      </w:r>
      <w:r w:rsidRPr="001727AA">
        <w:rPr>
          <w:rFonts w:ascii="微软雅黑" w:eastAsia="微软雅黑" w:hAnsi="微软雅黑" w:hint="eastAsia"/>
          <w:color w:val="000000" w:themeColor="text1"/>
          <w:sz w:val="21"/>
          <w:szCs w:val="21"/>
        </w:rPr>
        <w:t>，</w:t>
      </w:r>
      <w:r w:rsidRPr="001727AA">
        <w:rPr>
          <w:rFonts w:ascii="微软雅黑" w:eastAsia="微软雅黑" w:hAnsi="微软雅黑"/>
          <w:color w:val="000000" w:themeColor="text1"/>
          <w:sz w:val="21"/>
          <w:szCs w:val="21"/>
        </w:rPr>
        <w:t>カシオ计算器株式会社）</w:t>
      </w:r>
      <w:r w:rsidRPr="001727AA">
        <w:rPr>
          <w:rFonts w:ascii="微软雅黑" w:eastAsia="微软雅黑" w:hAnsi="微软雅黑" w:hint="eastAsia"/>
          <w:color w:val="000000" w:themeColor="text1"/>
          <w:sz w:val="21"/>
          <w:szCs w:val="21"/>
        </w:rPr>
        <w:t>1</w:t>
      </w:r>
      <w:r w:rsidRPr="001727AA">
        <w:rPr>
          <w:rFonts w:ascii="微软雅黑" w:eastAsia="微软雅黑" w:hAnsi="微软雅黑"/>
          <w:color w:val="000000" w:themeColor="text1"/>
          <w:sz w:val="21"/>
          <w:szCs w:val="21"/>
        </w:rPr>
        <w:t>957</w:t>
      </w:r>
      <w:r w:rsidRPr="001727AA">
        <w:rPr>
          <w:rFonts w:ascii="微软雅黑" w:eastAsia="微软雅黑" w:hAnsi="微软雅黑" w:hint="eastAsia"/>
          <w:color w:val="000000" w:themeColor="text1"/>
          <w:sz w:val="21"/>
          <w:szCs w:val="21"/>
        </w:rPr>
        <w:t>年创立，6</w:t>
      </w:r>
      <w:r w:rsidRPr="001727AA">
        <w:rPr>
          <w:rFonts w:ascii="微软雅黑" w:eastAsia="微软雅黑" w:hAnsi="微软雅黑"/>
          <w:color w:val="000000" w:themeColor="text1"/>
          <w:sz w:val="21"/>
          <w:szCs w:val="21"/>
        </w:rPr>
        <w:t>4</w:t>
      </w:r>
      <w:r w:rsidRPr="001727AA">
        <w:rPr>
          <w:rFonts w:ascii="微软雅黑" w:eastAsia="微软雅黑" w:hAnsi="微软雅黑" w:hint="eastAsia"/>
          <w:color w:val="000000" w:themeColor="text1"/>
          <w:sz w:val="21"/>
          <w:szCs w:val="21"/>
        </w:rPr>
        <w:t>年来一直秉承“创造与贡献”企业精神理念。“高、精、尖”先进技术结合新型液晶技术于腕表，不断努力研发具有时代价值的新产品。“腕上科技”产品不断在全球各地传播并引领这世界名表的数字科技，C</w:t>
      </w:r>
      <w:r w:rsidRPr="001727AA">
        <w:rPr>
          <w:rFonts w:ascii="微软雅黑" w:eastAsia="微软雅黑" w:hAnsi="微软雅黑"/>
          <w:color w:val="000000" w:themeColor="text1"/>
          <w:sz w:val="21"/>
          <w:szCs w:val="21"/>
        </w:rPr>
        <w:t>ASIO</w:t>
      </w:r>
      <w:r w:rsidRPr="001727AA">
        <w:rPr>
          <w:rFonts w:ascii="微软雅黑" w:eastAsia="微软雅黑" w:hAnsi="微软雅黑" w:hint="eastAsia"/>
          <w:color w:val="000000" w:themeColor="text1"/>
          <w:sz w:val="21"/>
          <w:szCs w:val="21"/>
        </w:rPr>
        <w:t>腕表所代表的年轻、活力、时尚、高品质、高科技的品牌深入人心。卡西欧手表运营团队专业、进取且具有战略眼光，品牌布局电商1</w:t>
      </w:r>
      <w:r w:rsidRPr="001727AA">
        <w:rPr>
          <w:rFonts w:ascii="微软雅黑" w:eastAsia="微软雅黑" w:hAnsi="微软雅黑"/>
          <w:color w:val="000000" w:themeColor="text1"/>
          <w:sz w:val="21"/>
          <w:szCs w:val="21"/>
        </w:rPr>
        <w:t>0</w:t>
      </w:r>
      <w:r w:rsidRPr="001727AA">
        <w:rPr>
          <w:rFonts w:ascii="微软雅黑" w:eastAsia="微软雅黑" w:hAnsi="微软雅黑" w:hint="eastAsia"/>
          <w:color w:val="000000" w:themeColor="text1"/>
          <w:sz w:val="21"/>
          <w:szCs w:val="21"/>
        </w:rPr>
        <w:t>余年，连续5年荣膺电商平台腕表销冠。</w:t>
      </w:r>
    </w:p>
    <w:p w14:paraId="33B11134" w14:textId="77777777" w:rsidR="00B9171D" w:rsidRPr="001727AA" w:rsidRDefault="00B9171D" w:rsidP="00431969">
      <w:pPr>
        <w:spacing w:before="100" w:beforeAutospacing="1" w:after="100" w:afterAutospacing="1"/>
        <w:textAlignment w:val="baseline"/>
        <w:rPr>
          <w:rFonts w:ascii="微软雅黑" w:eastAsia="微软雅黑" w:hAnsi="微软雅黑"/>
          <w:b/>
          <w:color w:val="000000" w:themeColor="text1"/>
          <w:sz w:val="21"/>
          <w:szCs w:val="21"/>
        </w:rPr>
      </w:pPr>
      <w:r w:rsidRPr="001727AA">
        <w:rPr>
          <w:rFonts w:ascii="微软雅黑" w:eastAsia="微软雅黑" w:hAnsi="微软雅黑" w:hint="eastAsia"/>
          <w:b/>
          <w:color w:val="000000" w:themeColor="text1"/>
          <w:sz w:val="21"/>
          <w:szCs w:val="21"/>
        </w:rPr>
        <w:t>行业背景：</w:t>
      </w:r>
    </w:p>
    <w:p w14:paraId="7DC524EF" w14:textId="75F571F5" w:rsidR="00B9171D" w:rsidRPr="00431969" w:rsidRDefault="00B9171D" w:rsidP="00431969">
      <w:pPr>
        <w:spacing w:before="100" w:beforeAutospacing="1" w:after="100" w:afterAutospacing="1"/>
        <w:textAlignment w:val="baseline"/>
        <w:rPr>
          <w:rFonts w:ascii="微软雅黑" w:eastAsia="微软雅黑" w:hAnsi="微软雅黑" w:hint="eastAsia"/>
          <w:color w:val="000000" w:themeColor="text1"/>
          <w:sz w:val="21"/>
          <w:szCs w:val="21"/>
        </w:rPr>
      </w:pPr>
      <w:r w:rsidRPr="001727AA">
        <w:rPr>
          <w:rFonts w:ascii="微软雅黑" w:eastAsia="微软雅黑" w:hAnsi="微软雅黑"/>
          <w:color w:val="000000" w:themeColor="text1"/>
          <w:sz w:val="21"/>
          <w:szCs w:val="21"/>
        </w:rPr>
        <w:t>20</w:t>
      </w:r>
      <w:r w:rsidRPr="001727AA">
        <w:rPr>
          <w:rFonts w:ascii="微软雅黑" w:eastAsia="微软雅黑" w:hAnsi="微软雅黑" w:hint="eastAsia"/>
          <w:color w:val="000000" w:themeColor="text1"/>
          <w:sz w:val="21"/>
          <w:szCs w:val="21"/>
        </w:rPr>
        <w:t>年疫情下，消费者购物行为和场景悄然发生改变，在少接触的消费需求下，网络零售市场展现出较好的灵活性，加速了线下线上渠道的融合。消费者不仅呈现线上迁移化，也因渠道的多样呈现碎片化。为满足消费者需求，优化供应链，加深对消费用户深度认知和有效的营销触达尤为重要。而如何找到品牌精准用户？在什么场景下对精准用户高效触达促转？数智化用户运营成为助力企业完善供应链的必要策略。</w:t>
      </w:r>
    </w:p>
    <w:p w14:paraId="0F26DF09" w14:textId="77777777" w:rsidR="00B9171D" w:rsidRPr="001727AA" w:rsidRDefault="00B9171D" w:rsidP="00431969">
      <w:pPr>
        <w:spacing w:before="100" w:beforeAutospacing="1" w:after="100" w:afterAutospacing="1"/>
        <w:textAlignment w:val="baseline"/>
        <w:rPr>
          <w:rFonts w:ascii="微软雅黑" w:eastAsia="微软雅黑" w:hAnsi="微软雅黑"/>
          <w:color w:val="000000" w:themeColor="text1"/>
          <w:sz w:val="21"/>
          <w:szCs w:val="21"/>
        </w:rPr>
      </w:pPr>
      <w:r w:rsidRPr="001727AA">
        <w:rPr>
          <w:rFonts w:ascii="微软雅黑" w:eastAsia="微软雅黑" w:hAnsi="微软雅黑" w:hint="eastAsia"/>
          <w:b/>
          <w:color w:val="000000" w:themeColor="text1"/>
          <w:sz w:val="21"/>
          <w:szCs w:val="21"/>
        </w:rPr>
        <w:t>品牌痛点：</w:t>
      </w:r>
    </w:p>
    <w:p w14:paraId="7FAF52FC" w14:textId="6421C029" w:rsidR="00B9171D" w:rsidRPr="00431969" w:rsidRDefault="00B9171D" w:rsidP="00431969">
      <w:pPr>
        <w:spacing w:before="100" w:beforeAutospacing="1" w:after="100" w:afterAutospacing="1"/>
        <w:textAlignment w:val="baseline"/>
        <w:rPr>
          <w:rFonts w:ascii="微软雅黑" w:eastAsia="微软雅黑" w:hAnsi="微软雅黑" w:hint="eastAsia"/>
          <w:color w:val="000000" w:themeColor="text1"/>
          <w:sz w:val="21"/>
          <w:szCs w:val="21"/>
        </w:rPr>
      </w:pPr>
      <w:r w:rsidRPr="001727AA">
        <w:rPr>
          <w:rFonts w:ascii="微软雅黑" w:eastAsia="微软雅黑" w:hAnsi="微软雅黑" w:hint="eastAsia"/>
          <w:color w:val="000000" w:themeColor="text1"/>
          <w:sz w:val="21"/>
          <w:szCs w:val="21"/>
        </w:rPr>
        <w:t>卡西欧在京东日韩表类目渗透高达8</w:t>
      </w:r>
      <w:r w:rsidRPr="001727AA">
        <w:rPr>
          <w:rFonts w:ascii="微软雅黑" w:eastAsia="微软雅黑" w:hAnsi="微软雅黑"/>
          <w:color w:val="000000" w:themeColor="text1"/>
          <w:sz w:val="21"/>
          <w:szCs w:val="21"/>
        </w:rPr>
        <w:t>0</w:t>
      </w:r>
      <w:r w:rsidRPr="001727AA">
        <w:rPr>
          <w:rFonts w:ascii="微软雅黑" w:eastAsia="微软雅黑" w:hAnsi="微软雅黑" w:hint="eastAsia"/>
          <w:color w:val="000000" w:themeColor="text1"/>
          <w:sz w:val="21"/>
          <w:szCs w:val="21"/>
        </w:rPr>
        <w:t>%+，品牌复购率仅1</w:t>
      </w:r>
      <w:r w:rsidRPr="001727AA">
        <w:rPr>
          <w:rFonts w:ascii="微软雅黑" w:eastAsia="微软雅黑" w:hAnsi="微软雅黑"/>
          <w:color w:val="000000" w:themeColor="text1"/>
          <w:sz w:val="21"/>
          <w:szCs w:val="21"/>
        </w:rPr>
        <w:t>0</w:t>
      </w:r>
      <w:r w:rsidRPr="001727AA">
        <w:rPr>
          <w:rFonts w:ascii="微软雅黑" w:eastAsia="微软雅黑" w:hAnsi="微软雅黑" w:hint="eastAsia"/>
          <w:color w:val="000000" w:themeColor="text1"/>
          <w:sz w:val="21"/>
          <w:szCs w:val="21"/>
        </w:rPr>
        <w:t>%左右，亟需跨品类拉新，维持品牌高速增长地位。</w:t>
      </w:r>
    </w:p>
    <w:p w14:paraId="040F8669" w14:textId="77777777" w:rsidR="00B9171D" w:rsidRPr="001727AA" w:rsidRDefault="00B9171D" w:rsidP="00431969">
      <w:pPr>
        <w:spacing w:before="100" w:beforeAutospacing="1" w:after="100" w:afterAutospacing="1"/>
        <w:textAlignment w:val="baseline"/>
        <w:rPr>
          <w:rFonts w:ascii="微软雅黑" w:eastAsia="微软雅黑" w:hAnsi="微软雅黑"/>
          <w:b/>
          <w:color w:val="000000" w:themeColor="text1"/>
          <w:sz w:val="21"/>
          <w:szCs w:val="21"/>
        </w:rPr>
      </w:pPr>
      <w:r w:rsidRPr="001727AA">
        <w:rPr>
          <w:rFonts w:ascii="微软雅黑" w:eastAsia="微软雅黑" w:hAnsi="微软雅黑" w:hint="eastAsia"/>
          <w:b/>
          <w:color w:val="000000" w:themeColor="text1"/>
          <w:sz w:val="21"/>
          <w:szCs w:val="21"/>
        </w:rPr>
        <w:t>方法论背景：</w:t>
      </w:r>
    </w:p>
    <w:p w14:paraId="62A41D2B" w14:textId="77777777" w:rsidR="00B9171D" w:rsidRPr="001727AA" w:rsidRDefault="00B9171D" w:rsidP="00431969">
      <w:pPr>
        <w:pStyle w:val="Default"/>
        <w:spacing w:before="100" w:beforeAutospacing="1" w:after="100" w:afterAutospacing="1"/>
        <w:rPr>
          <w:rFonts w:ascii="微软雅黑" w:eastAsia="微软雅黑" w:hAnsi="微软雅黑" w:cs="宋体"/>
          <w:color w:val="000000" w:themeColor="text1"/>
          <w:sz w:val="21"/>
          <w:szCs w:val="21"/>
        </w:rPr>
      </w:pPr>
      <w:r w:rsidRPr="001727AA">
        <w:rPr>
          <w:rFonts w:ascii="微软雅黑" w:eastAsia="微软雅黑" w:hAnsi="微软雅黑" w:cs="宋体"/>
          <w:color w:val="000000" w:themeColor="text1"/>
          <w:sz w:val="21"/>
          <w:szCs w:val="21"/>
        </w:rPr>
        <w:t>一个用户的当前价值并不等于其未来的价值，</w:t>
      </w:r>
      <w:r w:rsidRPr="001727AA">
        <w:rPr>
          <w:rFonts w:ascii="微软雅黑" w:eastAsia="微软雅黑" w:hAnsi="微软雅黑" w:cs="宋体" w:hint="eastAsia"/>
          <w:color w:val="000000" w:themeColor="text1"/>
          <w:sz w:val="21"/>
          <w:szCs w:val="21"/>
        </w:rPr>
        <w:t>如何</w:t>
      </w:r>
      <w:r w:rsidRPr="001727AA">
        <w:rPr>
          <w:rFonts w:ascii="微软雅黑" w:eastAsia="微软雅黑" w:hAnsi="微软雅黑" w:cs="宋体"/>
          <w:color w:val="000000" w:themeColor="text1"/>
          <w:sz w:val="21"/>
          <w:szCs w:val="21"/>
        </w:rPr>
        <w:t>有效预判用户的全生命周期价值</w:t>
      </w:r>
      <w:r w:rsidRPr="001727AA">
        <w:rPr>
          <w:rFonts w:ascii="微软雅黑" w:eastAsia="微软雅黑" w:hAnsi="微软雅黑" w:cs="宋体" w:hint="eastAsia"/>
          <w:color w:val="000000" w:themeColor="text1"/>
          <w:sz w:val="21"/>
          <w:szCs w:val="21"/>
        </w:rPr>
        <w:t>？</w:t>
      </w:r>
      <w:r w:rsidRPr="001727AA">
        <w:rPr>
          <w:rFonts w:ascii="微软雅黑" w:eastAsia="微软雅黑" w:hAnsi="微软雅黑" w:cs="宋体"/>
          <w:color w:val="000000" w:themeColor="text1"/>
          <w:sz w:val="21"/>
          <w:szCs w:val="21"/>
        </w:rPr>
        <w:t>品牌私域流量数据</w:t>
      </w:r>
      <w:r w:rsidRPr="001727AA">
        <w:rPr>
          <w:rFonts w:ascii="微软雅黑" w:eastAsia="微软雅黑" w:hAnsi="微软雅黑" w:cs="宋体" w:hint="eastAsia"/>
          <w:color w:val="000000" w:themeColor="text1"/>
          <w:sz w:val="21"/>
          <w:szCs w:val="21"/>
        </w:rPr>
        <w:t>如何</w:t>
      </w:r>
      <w:r w:rsidRPr="001727AA">
        <w:rPr>
          <w:rFonts w:ascii="微软雅黑" w:eastAsia="微软雅黑" w:hAnsi="微软雅黑" w:cs="宋体"/>
          <w:color w:val="000000" w:themeColor="text1"/>
          <w:sz w:val="21"/>
          <w:szCs w:val="21"/>
        </w:rPr>
        <w:t>更高效地和京东数据打通,更准确地识别用户品牌生命周期阶段，从而打造用户对品牌整体的忠诚度</w:t>
      </w:r>
      <w:r w:rsidRPr="001727AA">
        <w:rPr>
          <w:rFonts w:ascii="微软雅黑" w:eastAsia="微软雅黑" w:hAnsi="微软雅黑" w:cs="宋体" w:hint="eastAsia"/>
          <w:color w:val="000000" w:themeColor="text1"/>
          <w:sz w:val="21"/>
          <w:szCs w:val="21"/>
        </w:rPr>
        <w:t>？</w:t>
      </w:r>
      <w:r w:rsidRPr="001727AA">
        <w:rPr>
          <w:rFonts w:ascii="微软雅黑" w:eastAsia="微软雅黑" w:hAnsi="微软雅黑" w:cs="宋体"/>
          <w:color w:val="000000" w:themeColor="text1"/>
          <w:sz w:val="21"/>
          <w:szCs w:val="21"/>
        </w:rPr>
        <w:t>京东利用自身数据优势和平台资源，</w:t>
      </w:r>
      <w:r w:rsidRPr="001727AA">
        <w:rPr>
          <w:rFonts w:ascii="微软雅黑" w:eastAsia="微软雅黑" w:hAnsi="微软雅黑" w:cs="宋体" w:hint="eastAsia"/>
          <w:color w:val="000000" w:themeColor="text1"/>
          <w:sz w:val="21"/>
          <w:szCs w:val="21"/>
        </w:rPr>
        <w:t>推出</w:t>
      </w:r>
      <w:r w:rsidRPr="001727AA">
        <w:rPr>
          <w:rFonts w:ascii="微软雅黑" w:eastAsia="微软雅黑" w:hAnsi="微软雅黑" w:cs="宋体"/>
          <w:color w:val="000000" w:themeColor="text1"/>
          <w:sz w:val="21"/>
          <w:szCs w:val="21"/>
        </w:rPr>
        <w:t>全新的品牌用户运营体系——GOAL。</w:t>
      </w:r>
    </w:p>
    <w:p w14:paraId="4CFFEF36" w14:textId="77777777" w:rsidR="00B9171D" w:rsidRPr="001727AA" w:rsidRDefault="00B9171D" w:rsidP="00431969">
      <w:pPr>
        <w:spacing w:before="100" w:beforeAutospacing="1" w:after="100" w:afterAutospacing="1"/>
        <w:textAlignment w:val="baseline"/>
        <w:rPr>
          <w:rFonts w:ascii="微软雅黑" w:eastAsia="微软雅黑" w:hAnsi="微软雅黑"/>
          <w:color w:val="000000" w:themeColor="text1"/>
          <w:sz w:val="21"/>
          <w:szCs w:val="21"/>
        </w:rPr>
      </w:pPr>
      <w:r w:rsidRPr="001727AA">
        <w:rPr>
          <w:rFonts w:ascii="微软雅黑" w:eastAsia="微软雅黑" w:hAnsi="微软雅黑" w:hint="eastAsia"/>
          <w:color w:val="000000" w:themeColor="text1"/>
          <w:sz w:val="21"/>
          <w:szCs w:val="21"/>
        </w:rPr>
        <w:t>本营销案例即为京东</w:t>
      </w:r>
      <w:r w:rsidRPr="001727AA">
        <w:rPr>
          <w:rFonts w:ascii="微软雅黑" w:eastAsia="微软雅黑" w:hAnsi="微软雅黑"/>
          <w:color w:val="000000" w:themeColor="text1"/>
          <w:sz w:val="21"/>
          <w:szCs w:val="21"/>
        </w:rPr>
        <w:t>电商平台、</w:t>
      </w:r>
      <w:r w:rsidRPr="001727AA">
        <w:rPr>
          <w:rFonts w:ascii="微软雅黑" w:eastAsia="微软雅黑" w:hAnsi="微软雅黑" w:hint="eastAsia"/>
          <w:color w:val="000000" w:themeColor="text1"/>
          <w:sz w:val="21"/>
          <w:szCs w:val="21"/>
        </w:rPr>
        <w:t>卡西欧</w:t>
      </w:r>
      <w:r w:rsidRPr="001727AA">
        <w:rPr>
          <w:rFonts w:ascii="微软雅黑" w:eastAsia="微软雅黑" w:hAnsi="微软雅黑"/>
          <w:color w:val="000000" w:themeColor="text1"/>
          <w:sz w:val="21"/>
          <w:szCs w:val="21"/>
        </w:rPr>
        <w:t>品牌</w:t>
      </w:r>
      <w:r w:rsidRPr="001727AA">
        <w:rPr>
          <w:rFonts w:ascii="微软雅黑" w:eastAsia="微软雅黑" w:hAnsi="微软雅黑" w:hint="eastAsia"/>
          <w:color w:val="000000" w:themeColor="text1"/>
          <w:sz w:val="21"/>
          <w:szCs w:val="21"/>
        </w:rPr>
        <w:t>营销及运营团队及其</w:t>
      </w:r>
      <w:r w:rsidRPr="001727AA">
        <w:rPr>
          <w:rFonts w:ascii="微软雅黑" w:eastAsia="微软雅黑" w:hAnsi="微软雅黑"/>
          <w:color w:val="000000" w:themeColor="text1"/>
          <w:sz w:val="21"/>
          <w:szCs w:val="21"/>
        </w:rPr>
        <w:t>第三方运营商</w:t>
      </w:r>
      <w:r w:rsidRPr="001727AA">
        <w:rPr>
          <w:rFonts w:ascii="微软雅黑" w:eastAsia="微软雅黑" w:hAnsi="微软雅黑" w:hint="eastAsia"/>
          <w:color w:val="000000" w:themeColor="text1"/>
          <w:sz w:val="21"/>
          <w:szCs w:val="21"/>
        </w:rPr>
        <w:t>共同协作，通过京东“用户生命周期”理论以及“GOAL”用户运营方法论指导，通过京东数坊、京准通、商智等数智化营销工具，助力卡西欧品牌围绕卡西欧目标用户，进行“人”的全周期、全渠道高效组合运营，助力品牌实现</w:t>
      </w:r>
      <w:r w:rsidRPr="001727AA">
        <w:rPr>
          <w:rFonts w:ascii="微软雅黑" w:eastAsia="微软雅黑" w:hAnsi="微软雅黑"/>
          <w:color w:val="000000" w:themeColor="text1"/>
          <w:sz w:val="21"/>
          <w:szCs w:val="21"/>
        </w:rPr>
        <w:t>全渠道流量</w:t>
      </w:r>
      <w:r w:rsidRPr="001727AA">
        <w:rPr>
          <w:rFonts w:ascii="微软雅黑" w:eastAsia="微软雅黑" w:hAnsi="微软雅黑" w:hint="eastAsia"/>
          <w:color w:val="000000" w:themeColor="text1"/>
          <w:sz w:val="21"/>
          <w:szCs w:val="21"/>
        </w:rPr>
        <w:t>和数据资产</w:t>
      </w:r>
      <w:r w:rsidRPr="001727AA">
        <w:rPr>
          <w:rFonts w:ascii="微软雅黑" w:eastAsia="微软雅黑" w:hAnsi="微软雅黑"/>
          <w:color w:val="000000" w:themeColor="text1"/>
          <w:sz w:val="21"/>
          <w:szCs w:val="21"/>
        </w:rPr>
        <w:t>打通，</w:t>
      </w:r>
      <w:r w:rsidRPr="001727AA">
        <w:rPr>
          <w:rFonts w:ascii="微软雅黑" w:eastAsia="微软雅黑" w:hAnsi="微软雅黑" w:hint="eastAsia"/>
          <w:color w:val="000000" w:themeColor="text1"/>
          <w:sz w:val="21"/>
          <w:szCs w:val="21"/>
        </w:rPr>
        <w:t>品牌通过</w:t>
      </w:r>
      <w:r w:rsidRPr="001727AA">
        <w:rPr>
          <w:rFonts w:ascii="微软雅黑" w:eastAsia="微软雅黑" w:hAnsi="微软雅黑"/>
          <w:color w:val="000000" w:themeColor="text1"/>
          <w:sz w:val="21"/>
          <w:szCs w:val="21"/>
        </w:rPr>
        <w:t>精细化运营</w:t>
      </w:r>
      <w:r w:rsidRPr="001727AA">
        <w:rPr>
          <w:rFonts w:ascii="微软雅黑" w:eastAsia="微软雅黑" w:hAnsi="微软雅黑" w:hint="eastAsia"/>
          <w:color w:val="000000" w:themeColor="text1"/>
          <w:sz w:val="21"/>
          <w:szCs w:val="21"/>
        </w:rPr>
        <w:t>，</w:t>
      </w:r>
      <w:r w:rsidRPr="001727AA">
        <w:rPr>
          <w:rFonts w:ascii="微软雅黑" w:eastAsia="微软雅黑" w:hAnsi="微软雅黑"/>
          <w:color w:val="000000" w:themeColor="text1"/>
          <w:sz w:val="21"/>
          <w:szCs w:val="21"/>
        </w:rPr>
        <w:t>实现营销效果的最大化</w:t>
      </w:r>
      <w:r w:rsidRPr="001727AA">
        <w:rPr>
          <w:rFonts w:ascii="微软雅黑" w:eastAsia="微软雅黑" w:hAnsi="微软雅黑" w:hint="eastAsia"/>
          <w:color w:val="000000" w:themeColor="text1"/>
          <w:sz w:val="21"/>
          <w:szCs w:val="21"/>
        </w:rPr>
        <w:t>，帮助卡西欧生意进一步增长。</w:t>
      </w:r>
    </w:p>
    <w:p w14:paraId="1188B65F" w14:textId="77777777" w:rsidR="00B9171D" w:rsidRPr="000F7F85" w:rsidRDefault="00B9171D" w:rsidP="00431969">
      <w:pPr>
        <w:spacing w:before="100" w:beforeAutospacing="1" w:after="100" w:afterAutospacing="1"/>
        <w:jc w:val="center"/>
        <w:textAlignment w:val="baseline"/>
        <w:rPr>
          <w:rFonts w:ascii="微软雅黑" w:eastAsia="微软雅黑" w:hAnsi="微软雅黑"/>
          <w:b/>
          <w:color w:val="000000" w:themeColor="text1"/>
          <w:sz w:val="20"/>
          <w:szCs w:val="20"/>
        </w:rPr>
      </w:pPr>
      <w:r w:rsidRPr="000F7F85">
        <w:rPr>
          <w:rFonts w:ascii="微软雅黑" w:eastAsia="微软雅黑" w:hAnsi="微软雅黑" w:hint="eastAsia"/>
          <w:b/>
          <w:color w:val="000000" w:themeColor="text1"/>
          <w:sz w:val="20"/>
          <w:szCs w:val="20"/>
        </w:rPr>
        <w:lastRenderedPageBreak/>
        <w:t>图1</w:t>
      </w:r>
      <w:r w:rsidRPr="000F7F85">
        <w:rPr>
          <w:rFonts w:ascii="微软雅黑" w:eastAsia="微软雅黑" w:hAnsi="微软雅黑"/>
          <w:b/>
          <w:color w:val="000000" w:themeColor="text1"/>
          <w:sz w:val="20"/>
          <w:szCs w:val="20"/>
        </w:rPr>
        <w:t xml:space="preserve"> </w:t>
      </w:r>
      <w:r w:rsidRPr="000F7F85">
        <w:rPr>
          <w:rFonts w:ascii="微软雅黑" w:eastAsia="微软雅黑" w:hAnsi="微软雅黑" w:hint="eastAsia"/>
          <w:b/>
          <w:color w:val="000000" w:themeColor="text1"/>
          <w:sz w:val="20"/>
          <w:szCs w:val="20"/>
        </w:rPr>
        <w:t>京东</w:t>
      </w:r>
      <w:r w:rsidRPr="000F7F85">
        <w:rPr>
          <w:rFonts w:ascii="微软雅黑" w:eastAsia="微软雅黑" w:hAnsi="微软雅黑"/>
          <w:b/>
          <w:color w:val="000000" w:themeColor="text1"/>
          <w:sz w:val="20"/>
          <w:szCs w:val="20"/>
        </w:rPr>
        <w:t>数坊4A</w:t>
      </w:r>
      <w:r w:rsidRPr="000F7F85">
        <w:rPr>
          <w:rFonts w:ascii="微软雅黑" w:eastAsia="微软雅黑" w:hAnsi="微软雅黑" w:hint="eastAsia"/>
          <w:b/>
          <w:color w:val="000000" w:themeColor="text1"/>
          <w:sz w:val="20"/>
          <w:szCs w:val="20"/>
        </w:rPr>
        <w:t>定义</w:t>
      </w:r>
      <w:r w:rsidRPr="000F7F85">
        <w:rPr>
          <w:rFonts w:ascii="微软雅黑" w:eastAsia="微软雅黑" w:hAnsi="微软雅黑"/>
          <w:b/>
          <w:color w:val="000000" w:themeColor="text1"/>
          <w:sz w:val="20"/>
          <w:szCs w:val="20"/>
        </w:rPr>
        <w:t>&amp;4E营销策略</w:t>
      </w:r>
    </w:p>
    <w:p w14:paraId="22184076" w14:textId="60AF980E" w:rsidR="00B9171D" w:rsidRDefault="00B9171D" w:rsidP="00431969">
      <w:pPr>
        <w:spacing w:before="100" w:beforeAutospacing="1" w:after="100" w:afterAutospacing="1"/>
        <w:textAlignment w:val="baseline"/>
        <w:rPr>
          <w:rFonts w:ascii="微软雅黑" w:eastAsia="微软雅黑" w:hAnsi="微软雅黑"/>
          <w:b/>
          <w:color w:val="000000" w:themeColor="text1"/>
          <w:sz w:val="20"/>
          <w:szCs w:val="20"/>
        </w:rPr>
      </w:pPr>
      <w:r w:rsidRPr="000F7F85">
        <w:rPr>
          <w:rFonts w:ascii="微软雅黑" w:eastAsia="微软雅黑" w:hAnsi="微软雅黑"/>
          <w:noProof/>
          <w:sz w:val="20"/>
          <w:szCs w:val="20"/>
        </w:rPr>
        <w:drawing>
          <wp:inline distT="0" distB="0" distL="0" distR="0" wp14:anchorId="03B893C5" wp14:editId="5B099BD8">
            <wp:extent cx="5720715" cy="21888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2188845"/>
                    </a:xfrm>
                    <a:prstGeom prst="rect">
                      <a:avLst/>
                    </a:prstGeom>
                  </pic:spPr>
                </pic:pic>
              </a:graphicData>
            </a:graphic>
          </wp:inline>
        </w:drawing>
      </w:r>
    </w:p>
    <w:p w14:paraId="4B692D9F" w14:textId="77777777" w:rsidR="00431969" w:rsidRDefault="00431969" w:rsidP="00431969">
      <w:pPr>
        <w:spacing w:before="100" w:beforeAutospacing="1" w:after="100" w:afterAutospacing="1"/>
        <w:textAlignment w:val="baseline"/>
        <w:rPr>
          <w:rFonts w:ascii="微软雅黑" w:eastAsia="微软雅黑" w:hAnsi="微软雅黑" w:hint="eastAsia"/>
          <w:b/>
          <w:color w:val="000000" w:themeColor="text1"/>
          <w:sz w:val="20"/>
          <w:szCs w:val="20"/>
        </w:rPr>
      </w:pPr>
    </w:p>
    <w:p w14:paraId="34BF3E59" w14:textId="6DE40C0F" w:rsidR="00B9171D" w:rsidRPr="00B9171D" w:rsidRDefault="00B9171D" w:rsidP="00431969">
      <w:pPr>
        <w:spacing w:before="100" w:beforeAutospacing="1" w:after="100" w:afterAutospacing="1"/>
        <w:jc w:val="center"/>
        <w:textAlignment w:val="baseline"/>
        <w:rPr>
          <w:rFonts w:ascii="微软雅黑" w:eastAsia="微软雅黑" w:hAnsi="微软雅黑" w:hint="eastAsia"/>
          <w:b/>
          <w:color w:val="000000" w:themeColor="text1"/>
          <w:sz w:val="20"/>
          <w:szCs w:val="20"/>
        </w:rPr>
      </w:pPr>
      <w:r w:rsidRPr="000F7F85">
        <w:rPr>
          <w:rFonts w:ascii="微软雅黑" w:eastAsia="微软雅黑" w:hAnsi="微软雅黑" w:hint="eastAsia"/>
          <w:b/>
          <w:color w:val="000000" w:themeColor="text1"/>
          <w:sz w:val="20"/>
          <w:szCs w:val="20"/>
        </w:rPr>
        <w:t>图</w:t>
      </w:r>
      <w:r w:rsidRPr="000F7F85">
        <w:rPr>
          <w:rFonts w:ascii="微软雅黑" w:eastAsia="微软雅黑" w:hAnsi="微软雅黑"/>
          <w:b/>
          <w:color w:val="000000" w:themeColor="text1"/>
          <w:sz w:val="20"/>
          <w:szCs w:val="20"/>
        </w:rPr>
        <w:t xml:space="preserve">2 </w:t>
      </w:r>
      <w:r w:rsidRPr="000F7F85">
        <w:rPr>
          <w:rFonts w:ascii="微软雅黑" w:eastAsia="微软雅黑" w:hAnsi="微软雅黑" w:hint="eastAsia"/>
          <w:b/>
          <w:color w:val="000000" w:themeColor="text1"/>
          <w:sz w:val="20"/>
          <w:szCs w:val="20"/>
        </w:rPr>
        <w:t>京东用户增长模型的创新和发展</w:t>
      </w:r>
    </w:p>
    <w:p w14:paraId="1F974473" w14:textId="1BFBF794" w:rsidR="00B9171D" w:rsidRPr="00431969" w:rsidRDefault="00B9171D" w:rsidP="00431969">
      <w:pPr>
        <w:spacing w:before="100" w:beforeAutospacing="1" w:after="100" w:afterAutospacing="1"/>
        <w:jc w:val="center"/>
        <w:textAlignment w:val="baseline"/>
        <w:rPr>
          <w:rFonts w:ascii="微软雅黑" w:eastAsia="微软雅黑" w:hAnsi="微软雅黑" w:hint="eastAsia"/>
          <w:color w:val="000000" w:themeColor="text1"/>
          <w:sz w:val="20"/>
          <w:szCs w:val="20"/>
        </w:rPr>
      </w:pPr>
      <w:r w:rsidRPr="000F7F85">
        <w:rPr>
          <w:rFonts w:ascii="微软雅黑" w:eastAsia="微软雅黑" w:hAnsi="微软雅黑"/>
          <w:noProof/>
          <w:sz w:val="20"/>
          <w:szCs w:val="20"/>
        </w:rPr>
        <w:drawing>
          <wp:inline distT="0" distB="0" distL="0" distR="0" wp14:anchorId="70AF06CE" wp14:editId="05A4F79D">
            <wp:extent cx="5653315" cy="36502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1673" cy="3668585"/>
                    </a:xfrm>
                    <a:prstGeom prst="rect">
                      <a:avLst/>
                    </a:prstGeom>
                  </pic:spPr>
                </pic:pic>
              </a:graphicData>
            </a:graphic>
          </wp:inline>
        </w:drawing>
      </w:r>
    </w:p>
    <w:p w14:paraId="7407AEE5" w14:textId="77777777" w:rsidR="00431969" w:rsidRDefault="00431969" w:rsidP="00431969">
      <w:pPr>
        <w:spacing w:before="100" w:beforeAutospacing="1" w:after="100" w:afterAutospacing="1"/>
        <w:jc w:val="center"/>
        <w:textAlignment w:val="baseline"/>
        <w:rPr>
          <w:rFonts w:ascii="微软雅黑" w:eastAsia="微软雅黑" w:hAnsi="微软雅黑"/>
          <w:b/>
          <w:color w:val="000000" w:themeColor="text1"/>
          <w:sz w:val="20"/>
          <w:szCs w:val="20"/>
        </w:rPr>
      </w:pPr>
    </w:p>
    <w:p w14:paraId="1571A63D" w14:textId="77777777" w:rsidR="00431969" w:rsidRDefault="00431969" w:rsidP="00431969">
      <w:pPr>
        <w:spacing w:before="100" w:beforeAutospacing="1" w:after="100" w:afterAutospacing="1"/>
        <w:jc w:val="center"/>
        <w:textAlignment w:val="baseline"/>
        <w:rPr>
          <w:rFonts w:ascii="微软雅黑" w:eastAsia="微软雅黑" w:hAnsi="微软雅黑"/>
          <w:b/>
          <w:color w:val="000000" w:themeColor="text1"/>
          <w:sz w:val="20"/>
          <w:szCs w:val="20"/>
        </w:rPr>
      </w:pPr>
    </w:p>
    <w:p w14:paraId="4A0F35A2" w14:textId="77777777" w:rsidR="00431969" w:rsidRDefault="00431969" w:rsidP="00431969">
      <w:pPr>
        <w:spacing w:before="100" w:beforeAutospacing="1" w:after="100" w:afterAutospacing="1"/>
        <w:jc w:val="center"/>
        <w:textAlignment w:val="baseline"/>
        <w:rPr>
          <w:rFonts w:ascii="微软雅黑" w:eastAsia="微软雅黑" w:hAnsi="微软雅黑"/>
          <w:b/>
          <w:color w:val="000000" w:themeColor="text1"/>
          <w:sz w:val="20"/>
          <w:szCs w:val="20"/>
        </w:rPr>
      </w:pPr>
    </w:p>
    <w:p w14:paraId="6680E8F1" w14:textId="77777777" w:rsidR="00431969" w:rsidRDefault="00431969" w:rsidP="00431969">
      <w:pPr>
        <w:spacing w:before="100" w:beforeAutospacing="1" w:after="100" w:afterAutospacing="1"/>
        <w:jc w:val="center"/>
        <w:textAlignment w:val="baseline"/>
        <w:rPr>
          <w:rFonts w:ascii="微软雅黑" w:eastAsia="微软雅黑" w:hAnsi="微软雅黑"/>
          <w:b/>
          <w:color w:val="000000" w:themeColor="text1"/>
          <w:sz w:val="20"/>
          <w:szCs w:val="20"/>
        </w:rPr>
      </w:pPr>
    </w:p>
    <w:p w14:paraId="04CA8EEB" w14:textId="77777777" w:rsidR="00431969" w:rsidRDefault="00431969" w:rsidP="00431969">
      <w:pPr>
        <w:spacing w:before="100" w:beforeAutospacing="1" w:after="100" w:afterAutospacing="1"/>
        <w:textAlignment w:val="baseline"/>
        <w:rPr>
          <w:rFonts w:ascii="微软雅黑" w:eastAsia="微软雅黑" w:hAnsi="微软雅黑"/>
          <w:b/>
          <w:color w:val="000000" w:themeColor="text1"/>
          <w:sz w:val="20"/>
          <w:szCs w:val="20"/>
        </w:rPr>
      </w:pPr>
    </w:p>
    <w:p w14:paraId="7C33FE77" w14:textId="7A7565AD" w:rsidR="00431969" w:rsidRPr="00431969" w:rsidRDefault="00431969" w:rsidP="00431969">
      <w:pPr>
        <w:spacing w:before="100" w:beforeAutospacing="1" w:after="100" w:afterAutospacing="1"/>
        <w:jc w:val="center"/>
        <w:textAlignment w:val="baseline"/>
        <w:rPr>
          <w:rFonts w:ascii="微软雅黑" w:eastAsia="微软雅黑" w:hAnsi="微软雅黑" w:hint="eastAsia"/>
          <w:b/>
          <w:color w:val="000000" w:themeColor="text1"/>
          <w:sz w:val="20"/>
          <w:szCs w:val="20"/>
        </w:rPr>
      </w:pPr>
      <w:r w:rsidRPr="000F7F85">
        <w:rPr>
          <w:rFonts w:ascii="微软雅黑" w:eastAsia="微软雅黑" w:hAnsi="微软雅黑" w:hint="eastAsia"/>
          <w:b/>
          <w:color w:val="000000" w:themeColor="text1"/>
          <w:sz w:val="20"/>
          <w:szCs w:val="20"/>
        </w:rPr>
        <w:lastRenderedPageBreak/>
        <w:t>图</w:t>
      </w:r>
      <w:r w:rsidRPr="000F7F85">
        <w:rPr>
          <w:rFonts w:ascii="微软雅黑" w:eastAsia="微软雅黑" w:hAnsi="微软雅黑"/>
          <w:b/>
          <w:color w:val="000000" w:themeColor="text1"/>
          <w:sz w:val="20"/>
          <w:szCs w:val="20"/>
        </w:rPr>
        <w:t xml:space="preserve">3 </w:t>
      </w:r>
      <w:r w:rsidRPr="000F7F85">
        <w:rPr>
          <w:rFonts w:ascii="微软雅黑" w:eastAsia="微软雅黑" w:hAnsi="微软雅黑" w:hint="eastAsia"/>
          <w:b/>
          <w:color w:val="000000" w:themeColor="text1"/>
          <w:sz w:val="20"/>
          <w:szCs w:val="20"/>
        </w:rPr>
        <w:t>京东G</w:t>
      </w:r>
      <w:r w:rsidRPr="000F7F85">
        <w:rPr>
          <w:rFonts w:ascii="微软雅黑" w:eastAsia="微软雅黑" w:hAnsi="微软雅黑"/>
          <w:b/>
          <w:color w:val="000000" w:themeColor="text1"/>
          <w:sz w:val="20"/>
          <w:szCs w:val="20"/>
        </w:rPr>
        <w:t>OAL</w:t>
      </w:r>
      <w:r w:rsidRPr="000F7F85">
        <w:rPr>
          <w:rFonts w:ascii="微软雅黑" w:eastAsia="微软雅黑" w:hAnsi="微软雅黑" w:hint="eastAsia"/>
          <w:b/>
          <w:color w:val="000000" w:themeColor="text1"/>
          <w:sz w:val="20"/>
          <w:szCs w:val="20"/>
        </w:rPr>
        <w:t>-品牌用户增长方法论</w:t>
      </w:r>
    </w:p>
    <w:p w14:paraId="2458A0C1" w14:textId="6ECA407D" w:rsidR="00B9171D" w:rsidRPr="00431969" w:rsidRDefault="00B9171D" w:rsidP="00431969">
      <w:pPr>
        <w:spacing w:before="100" w:beforeAutospacing="1" w:after="100" w:afterAutospacing="1"/>
        <w:textAlignment w:val="baseline"/>
        <w:rPr>
          <w:rFonts w:ascii="微软雅黑" w:eastAsia="微软雅黑" w:hAnsi="微软雅黑" w:hint="eastAsia"/>
          <w:sz w:val="20"/>
          <w:szCs w:val="20"/>
        </w:rPr>
      </w:pPr>
      <w:r w:rsidRPr="000F7F85">
        <w:rPr>
          <w:rFonts w:ascii="微软雅黑" w:eastAsia="微软雅黑" w:hAnsi="微软雅黑"/>
          <w:noProof/>
          <w:sz w:val="20"/>
          <w:szCs w:val="20"/>
        </w:rPr>
        <w:drawing>
          <wp:inline distT="0" distB="0" distL="0" distR="0" wp14:anchorId="24BBEF5E" wp14:editId="58DABEDD">
            <wp:extent cx="5720715" cy="2270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2270760"/>
                    </a:xfrm>
                    <a:prstGeom prst="rect">
                      <a:avLst/>
                    </a:prstGeom>
                  </pic:spPr>
                </pic:pic>
              </a:graphicData>
            </a:graphic>
          </wp:inline>
        </w:drawing>
      </w:r>
    </w:p>
    <w:p w14:paraId="3751F760" w14:textId="77777777" w:rsidR="000631F9" w:rsidRPr="002B1FC2" w:rsidRDefault="000631F9" w:rsidP="0043196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762EE65F" w14:textId="77777777" w:rsidR="00B9171D" w:rsidRPr="001727AA" w:rsidRDefault="00B9171D" w:rsidP="00431969">
      <w:pPr>
        <w:spacing w:before="100" w:beforeAutospacing="1" w:after="100" w:afterAutospacing="1"/>
        <w:textAlignment w:val="baseline"/>
        <w:rPr>
          <w:rFonts w:ascii="微软雅黑" w:eastAsia="微软雅黑" w:hAnsi="微软雅黑"/>
          <w:sz w:val="21"/>
          <w:szCs w:val="21"/>
        </w:rPr>
      </w:pPr>
      <w:r w:rsidRPr="001727AA">
        <w:rPr>
          <w:rFonts w:ascii="微软雅黑" w:eastAsia="微软雅黑" w:hAnsi="微软雅黑" w:hint="eastAsia"/>
          <w:sz w:val="21"/>
          <w:szCs w:val="21"/>
        </w:rPr>
        <w:t>本案例通过卡西欧在京东上超级品牌日到双11的GOAL方法论的应用及策略进阶复用，以解决品牌“用户精细化运营难”、“拉新难”、“转化难”和“会员管理难”等四大核心增长难点，实现品牌数字化、数据化、数智化三位一体的转型。</w:t>
      </w:r>
    </w:p>
    <w:p w14:paraId="0B481A52" w14:textId="164F08CE" w:rsidR="00995A88" w:rsidRPr="001727AA" w:rsidRDefault="00B9171D" w:rsidP="00431969">
      <w:pPr>
        <w:spacing w:before="100" w:beforeAutospacing="1" w:after="100" w:afterAutospacing="1"/>
        <w:jc w:val="center"/>
        <w:textAlignment w:val="baseline"/>
        <w:rPr>
          <w:rFonts w:ascii="微软雅黑" w:eastAsia="微软雅黑" w:hAnsi="微软雅黑"/>
          <w:b/>
          <w:bCs/>
          <w:color w:val="C00000"/>
          <w:sz w:val="20"/>
          <w:szCs w:val="20"/>
          <w:shd w:val="clear" w:color="FFFFFF" w:fill="D9D9D9"/>
        </w:rPr>
      </w:pPr>
      <w:r w:rsidRPr="000F7F85">
        <w:rPr>
          <w:rFonts w:ascii="微软雅黑" w:eastAsia="微软雅黑" w:hAnsi="微软雅黑"/>
          <w:b/>
          <w:bCs/>
          <w:noProof/>
          <w:color w:val="C00000"/>
          <w:sz w:val="20"/>
          <w:szCs w:val="20"/>
          <w:shd w:val="clear" w:color="FFFFFF" w:fill="D9D9D9"/>
        </w:rPr>
        <w:drawing>
          <wp:inline distT="0" distB="0" distL="0" distR="0" wp14:anchorId="03CC3DD9" wp14:editId="4D6D6D39">
            <wp:extent cx="5174730" cy="29188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993" cy="2938139"/>
                    </a:xfrm>
                    <a:prstGeom prst="rect">
                      <a:avLst/>
                    </a:prstGeom>
                    <a:noFill/>
                  </pic:spPr>
                </pic:pic>
              </a:graphicData>
            </a:graphic>
          </wp:inline>
        </w:drawing>
      </w:r>
    </w:p>
    <w:p w14:paraId="40607E58" w14:textId="77777777" w:rsidR="00B5241D" w:rsidRPr="002B1FC2" w:rsidRDefault="000631F9" w:rsidP="0043196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5C2A22E0" w14:textId="77777777" w:rsidR="00B9171D" w:rsidRPr="001727AA" w:rsidRDefault="00B9171D" w:rsidP="00431969">
      <w:pPr>
        <w:spacing w:before="100" w:beforeAutospacing="1" w:after="100" w:afterAutospacing="1"/>
        <w:textAlignment w:val="baseline"/>
        <w:rPr>
          <w:rFonts w:ascii="微软雅黑" w:eastAsia="微软雅黑" w:hAnsi="微软雅黑"/>
          <w:bCs/>
          <w:sz w:val="21"/>
          <w:szCs w:val="21"/>
        </w:rPr>
      </w:pPr>
      <w:r w:rsidRPr="001727AA">
        <w:rPr>
          <w:rFonts w:ascii="微软雅黑" w:eastAsia="微软雅黑" w:hAnsi="微软雅黑" w:hint="eastAsia"/>
          <w:bCs/>
          <w:sz w:val="21"/>
          <w:szCs w:val="21"/>
        </w:rPr>
        <w:t>基于品牌人群细化、人群潜力预测、打通私域的三个增长新目标，结合京东360的数据优势和丰富的平台资源，从4A开始沉淀用户资产，而后融入用户生命周期进行精细化运营，在此之上又进一步迭代打造了全新的品牌用户运营体系——GOAL。</w:t>
      </w:r>
    </w:p>
    <w:p w14:paraId="5788C583" w14:textId="77777777" w:rsidR="00B9171D" w:rsidRPr="001727AA" w:rsidRDefault="00B9171D" w:rsidP="00431969">
      <w:pPr>
        <w:pStyle w:val="Default"/>
        <w:spacing w:before="100" w:beforeAutospacing="1" w:after="100" w:afterAutospacing="1"/>
        <w:rPr>
          <w:rFonts w:ascii="微软雅黑" w:eastAsia="微软雅黑" w:hAnsi="微软雅黑"/>
          <w:bCs/>
          <w:sz w:val="21"/>
          <w:szCs w:val="21"/>
        </w:rPr>
      </w:pPr>
      <w:r w:rsidRPr="001727AA">
        <w:rPr>
          <w:rFonts w:ascii="微软雅黑" w:eastAsia="微软雅黑" w:hAnsi="微软雅黑" w:hint="eastAsia"/>
          <w:bCs/>
          <w:sz w:val="21"/>
          <w:szCs w:val="21"/>
        </w:rPr>
        <w:t>GOAL品牌用户增长方法论的创新点及价值在于：首先，以十大靶向人群为起点，对品牌消费者资产进行定量化、链路化运营的同时，有效提升消费者渗透率；其次，创新性地引入CLV模型，为品</w:t>
      </w:r>
      <w:r w:rsidRPr="001727AA">
        <w:rPr>
          <w:rFonts w:ascii="微软雅黑" w:eastAsia="微软雅黑" w:hAnsi="微软雅黑" w:hint="eastAsia"/>
          <w:bCs/>
          <w:sz w:val="21"/>
          <w:szCs w:val="21"/>
        </w:rPr>
        <w:lastRenderedPageBreak/>
        <w:t>牌提供统一的、有针对性的洞察和操作建议，直观易用、易落地，从而更精确地拉动用户价值增长。</w:t>
      </w:r>
      <w:r w:rsidRPr="001727AA">
        <w:rPr>
          <w:rFonts w:ascii="微软雅黑" w:eastAsia="微软雅黑" w:hAnsi="微软雅黑"/>
          <w:bCs/>
          <w:sz w:val="21"/>
          <w:szCs w:val="21"/>
        </w:rPr>
        <w:t>GOAL通过体系化地用户运营，精准定位目标人群并高效渗透，进而提升目标人群转化率、加速用户价值增长，最终建立起企业与消费者之间的良好关系</w:t>
      </w:r>
      <w:r w:rsidRPr="001727AA">
        <w:rPr>
          <w:rFonts w:ascii="微软雅黑" w:eastAsia="微软雅黑" w:hAnsi="微软雅黑" w:hint="eastAsia"/>
          <w:bCs/>
          <w:sz w:val="21"/>
          <w:szCs w:val="21"/>
        </w:rPr>
        <w:t>。</w:t>
      </w:r>
      <w:r w:rsidRPr="001727AA">
        <w:rPr>
          <w:rFonts w:ascii="微软雅黑" w:eastAsia="微软雅黑" w:hAnsi="微软雅黑"/>
          <w:bCs/>
          <w:sz w:val="21"/>
          <w:szCs w:val="21"/>
        </w:rPr>
        <w:t>品牌可通过由忠诚用户带来的更高价值及由口碑提升带来的用户增长，实现降低品牌用户运营成本、增加用户价值产出的良性闭环。</w:t>
      </w:r>
    </w:p>
    <w:p w14:paraId="3C2B4EE1" w14:textId="6018FBFC" w:rsidR="00B9171D" w:rsidRPr="00431969" w:rsidRDefault="00B9171D" w:rsidP="00431969">
      <w:pPr>
        <w:spacing w:before="100" w:beforeAutospacing="1" w:after="100" w:afterAutospacing="1"/>
        <w:textAlignment w:val="baseline"/>
        <w:rPr>
          <w:rFonts w:ascii="微软雅黑" w:eastAsia="微软雅黑" w:hAnsi="微软雅黑" w:cs="JDLangZhengTi" w:hint="eastAsia"/>
          <w:bCs/>
          <w:color w:val="000000"/>
          <w:sz w:val="21"/>
          <w:szCs w:val="21"/>
        </w:rPr>
      </w:pPr>
      <w:r w:rsidRPr="001727AA">
        <w:rPr>
          <w:rFonts w:ascii="微软雅黑" w:eastAsia="微软雅黑" w:hAnsi="微软雅黑" w:cs="JDLangZhengTi" w:hint="eastAsia"/>
          <w:bCs/>
          <w:color w:val="000000"/>
          <w:sz w:val="21"/>
          <w:szCs w:val="21"/>
        </w:rPr>
        <w:t>GOAL品牌方增长用户的方法论，不仅可助力京东站内品牌高效运营，对其他主流的电商平台乃至营销行业有重要借鉴意义。</w:t>
      </w:r>
      <w:r w:rsidRPr="001727AA">
        <w:rPr>
          <w:rFonts w:ascii="微软雅黑" w:eastAsia="微软雅黑" w:hAnsi="微软雅黑" w:cs="JDLangZhengTi"/>
          <w:bCs/>
          <w:color w:val="000000"/>
          <w:sz w:val="21"/>
          <w:szCs w:val="21"/>
        </w:rPr>
        <w:t xml:space="preserve"> </w:t>
      </w:r>
    </w:p>
    <w:p w14:paraId="78D8CF84" w14:textId="448644AB" w:rsidR="00B9171D" w:rsidRDefault="00B9171D" w:rsidP="00431969">
      <w:pPr>
        <w:spacing w:before="100" w:beforeAutospacing="1" w:after="100" w:afterAutospacing="1"/>
        <w:textAlignment w:val="baseline"/>
        <w:rPr>
          <w:rFonts w:ascii="微软雅黑" w:eastAsia="微软雅黑" w:hAnsi="微软雅黑"/>
          <w:b/>
          <w:color w:val="0000FF"/>
          <w:sz w:val="28"/>
        </w:rPr>
      </w:pPr>
      <w:r w:rsidRPr="000F7F85">
        <w:rPr>
          <w:rFonts w:ascii="微软雅黑" w:eastAsia="微软雅黑" w:hAnsi="微软雅黑"/>
          <w:noProof/>
          <w:sz w:val="20"/>
          <w:szCs w:val="20"/>
        </w:rPr>
        <w:drawing>
          <wp:inline distT="0" distB="0" distL="0" distR="0" wp14:anchorId="13724E7D" wp14:editId="18E60FAA">
            <wp:extent cx="5702428" cy="293698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4160" cy="2943023"/>
                    </a:xfrm>
                    <a:prstGeom prst="rect">
                      <a:avLst/>
                    </a:prstGeom>
                  </pic:spPr>
                </pic:pic>
              </a:graphicData>
            </a:graphic>
          </wp:inline>
        </w:drawing>
      </w:r>
    </w:p>
    <w:p w14:paraId="7B37F0E2" w14:textId="0BDEAE7E" w:rsidR="00555F73" w:rsidRDefault="000631F9" w:rsidP="00431969">
      <w:pPr>
        <w:spacing w:before="100" w:beforeAutospacing="1" w:after="100" w:afterAutospacing="1"/>
        <w:textAlignment w:val="baseline"/>
        <w:rPr>
          <w:rFonts w:ascii="微软雅黑" w:eastAsia="微软雅黑" w:hAnsi="微软雅黑"/>
          <w:sz w:val="21"/>
          <w:szCs w:val="21"/>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138B9DD3" w14:textId="4A1797FF" w:rsidR="00B9171D" w:rsidRPr="00431969" w:rsidRDefault="00B9171D" w:rsidP="00431969">
      <w:pPr>
        <w:spacing w:before="100" w:beforeAutospacing="1" w:after="100" w:afterAutospacing="1"/>
        <w:textAlignment w:val="baseline"/>
        <w:rPr>
          <w:rFonts w:ascii="微软雅黑" w:eastAsia="微软雅黑" w:hAnsi="微软雅黑"/>
          <w:sz w:val="21"/>
          <w:szCs w:val="21"/>
        </w:rPr>
      </w:pPr>
      <w:r w:rsidRPr="00431969">
        <w:rPr>
          <w:rFonts w:ascii="微软雅黑" w:eastAsia="微软雅黑" w:hAnsi="微软雅黑" w:hint="eastAsia"/>
          <w:b/>
          <w:bCs/>
          <w:sz w:val="21"/>
          <w:szCs w:val="21"/>
        </w:rPr>
        <w:t>首先</w:t>
      </w:r>
      <w:r w:rsidRPr="00431969">
        <w:rPr>
          <w:rFonts w:ascii="微软雅黑" w:eastAsia="微软雅黑" w:hAnsi="微软雅黑" w:hint="eastAsia"/>
          <w:b/>
          <w:sz w:val="21"/>
          <w:szCs w:val="21"/>
        </w:rPr>
        <w:t>，</w:t>
      </w:r>
      <w:r w:rsidRPr="00431969">
        <w:rPr>
          <w:rFonts w:ascii="微软雅黑" w:eastAsia="微软雅黑" w:hAnsi="微软雅黑" w:hint="eastAsia"/>
          <w:sz w:val="21"/>
          <w:szCs w:val="21"/>
        </w:rPr>
        <w:t>品牌按照GOAL-方法论，通过分别分析对比品牌渗透率、健康度和资产趋势，明确了卡西欧在京东平台上的四大核心人群，了解类目发展情况和类目人群特征的同时，精准锁定目标消费者——小镇中产、都市中产、都市Z世代和小镇青年。</w:t>
      </w:r>
    </w:p>
    <w:p w14:paraId="6E327487" w14:textId="77777777" w:rsidR="00B9171D" w:rsidRPr="000F7F85" w:rsidRDefault="00B9171D" w:rsidP="00431969">
      <w:pPr>
        <w:spacing w:before="100" w:beforeAutospacing="1" w:after="100" w:afterAutospacing="1"/>
        <w:textAlignment w:val="baseline"/>
        <w:rPr>
          <w:rFonts w:ascii="微软雅黑" w:eastAsia="微软雅黑" w:hAnsi="微软雅黑"/>
          <w:sz w:val="20"/>
          <w:szCs w:val="20"/>
        </w:rPr>
      </w:pPr>
      <w:r w:rsidRPr="000F7F85">
        <w:rPr>
          <w:rFonts w:ascii="微软雅黑" w:eastAsia="微软雅黑" w:hAnsi="微软雅黑"/>
          <w:noProof/>
          <w:sz w:val="20"/>
          <w:szCs w:val="20"/>
        </w:rPr>
        <w:lastRenderedPageBreak/>
        <w:drawing>
          <wp:inline distT="0" distB="0" distL="114300" distR="114300" wp14:anchorId="785870A9" wp14:editId="73E6F8CE">
            <wp:extent cx="5380990" cy="2960370"/>
            <wp:effectExtent l="0" t="0" r="635"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380990" cy="2960370"/>
                    </a:xfrm>
                    <a:prstGeom prst="rect">
                      <a:avLst/>
                    </a:prstGeom>
                    <a:noFill/>
                    <a:ln>
                      <a:noFill/>
                    </a:ln>
                  </pic:spPr>
                </pic:pic>
              </a:graphicData>
            </a:graphic>
          </wp:inline>
        </w:drawing>
      </w:r>
    </w:p>
    <w:p w14:paraId="20AD46D2" w14:textId="77777777" w:rsidR="00B9171D" w:rsidRPr="001727AA" w:rsidRDefault="00B9171D" w:rsidP="00431969">
      <w:pPr>
        <w:spacing w:before="100" w:beforeAutospacing="1" w:after="100" w:afterAutospacing="1"/>
        <w:textAlignment w:val="baseline"/>
        <w:rPr>
          <w:rFonts w:ascii="微软雅黑" w:eastAsia="微软雅黑" w:hAnsi="微软雅黑"/>
          <w:sz w:val="21"/>
          <w:szCs w:val="21"/>
        </w:rPr>
      </w:pPr>
      <w:r w:rsidRPr="001727AA">
        <w:rPr>
          <w:rFonts w:ascii="微软雅黑" w:eastAsia="微软雅黑" w:hAnsi="微软雅黑" w:hint="eastAsia"/>
          <w:b/>
          <w:bCs/>
          <w:sz w:val="21"/>
          <w:szCs w:val="21"/>
        </w:rPr>
        <w:t>其次</w:t>
      </w:r>
      <w:r w:rsidRPr="001727AA">
        <w:rPr>
          <w:rFonts w:ascii="微软雅黑" w:eastAsia="微软雅黑" w:hAnsi="微软雅黑" w:hint="eastAsia"/>
          <w:sz w:val="21"/>
          <w:szCs w:val="21"/>
        </w:rPr>
        <w:t>，针对不同营销阶段，品牌对高效拉新的痛点，进行了提升品牌资产突破口的寻找。通过深入挖掘人群画像、RFM、购买货品偏好以及触点偏好等维度，去探寻品牌渗透率总量提升和转化率提升的机会点。</w:t>
      </w:r>
    </w:p>
    <w:p w14:paraId="3282AFCB" w14:textId="77777777" w:rsidR="00B9171D" w:rsidRPr="001727AA" w:rsidRDefault="00B9171D" w:rsidP="00431969">
      <w:pPr>
        <w:spacing w:before="100" w:beforeAutospacing="1" w:after="100" w:afterAutospacing="1"/>
        <w:textAlignment w:val="baseline"/>
        <w:rPr>
          <w:rFonts w:ascii="微软雅黑" w:eastAsia="微软雅黑" w:hAnsi="微软雅黑"/>
          <w:sz w:val="21"/>
          <w:szCs w:val="21"/>
        </w:rPr>
      </w:pPr>
      <w:r w:rsidRPr="001727AA">
        <w:rPr>
          <w:rFonts w:ascii="微软雅黑" w:eastAsia="微软雅黑" w:hAnsi="微软雅黑" w:hint="eastAsia"/>
          <w:b/>
          <w:bCs/>
          <w:sz w:val="21"/>
          <w:szCs w:val="21"/>
        </w:rPr>
        <w:t>在双11的预售预热期</w:t>
      </w:r>
      <w:r w:rsidRPr="001727AA">
        <w:rPr>
          <w:rFonts w:ascii="微软雅黑" w:eastAsia="微软雅黑" w:hAnsi="微软雅黑" w:hint="eastAsia"/>
          <w:sz w:val="21"/>
          <w:szCs w:val="21"/>
        </w:rPr>
        <w:t>，在站内——品牌对高关联跨三级类目进行了偏好洞察，针对包括腕表、美妆、运动、礼品、珠宝以及酒水在内的高端类目为方向，叠加品牌人群特征标签，进行了细分的定向拉新；在站外——品牌投放了大量的线上媒体广告，为双11的爆发提前蓄水，且投放资源可悉数回流至后台，用于后链路的维护。</w:t>
      </w:r>
    </w:p>
    <w:p w14:paraId="5A9EDFDA" w14:textId="77777777" w:rsidR="00B9171D" w:rsidRPr="000F7F85" w:rsidRDefault="00B9171D" w:rsidP="00431969">
      <w:pPr>
        <w:spacing w:before="100" w:beforeAutospacing="1" w:after="100" w:afterAutospacing="1"/>
        <w:jc w:val="center"/>
        <w:textAlignment w:val="baseline"/>
        <w:rPr>
          <w:rFonts w:ascii="微软雅黑" w:eastAsia="微软雅黑" w:hAnsi="微软雅黑"/>
          <w:sz w:val="20"/>
          <w:szCs w:val="20"/>
        </w:rPr>
      </w:pPr>
      <w:r w:rsidRPr="000F7F85">
        <w:rPr>
          <w:rFonts w:ascii="微软雅黑" w:eastAsia="微软雅黑" w:hAnsi="微软雅黑"/>
          <w:noProof/>
          <w:sz w:val="20"/>
          <w:szCs w:val="20"/>
        </w:rPr>
        <w:drawing>
          <wp:inline distT="0" distB="0" distL="0" distR="0" wp14:anchorId="7EE3E8F3" wp14:editId="6B9F4328">
            <wp:extent cx="5032228" cy="3662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294" cy="3671252"/>
                    </a:xfrm>
                    <a:prstGeom prst="rect">
                      <a:avLst/>
                    </a:prstGeom>
                    <a:noFill/>
                  </pic:spPr>
                </pic:pic>
              </a:graphicData>
            </a:graphic>
          </wp:inline>
        </w:drawing>
      </w:r>
    </w:p>
    <w:p w14:paraId="110B780B" w14:textId="67DBD195" w:rsidR="00B9171D" w:rsidRPr="000F7F85" w:rsidRDefault="00B9171D" w:rsidP="00431969">
      <w:pPr>
        <w:spacing w:before="100" w:beforeAutospacing="1" w:after="100" w:afterAutospacing="1"/>
        <w:textAlignment w:val="baseline"/>
        <w:rPr>
          <w:rFonts w:ascii="微软雅黑" w:eastAsia="微软雅黑" w:hAnsi="微软雅黑" w:hint="eastAsia"/>
          <w:sz w:val="20"/>
          <w:szCs w:val="20"/>
        </w:rPr>
      </w:pPr>
      <w:r w:rsidRPr="000F7F85">
        <w:rPr>
          <w:rFonts w:ascii="微软雅黑" w:eastAsia="微软雅黑" w:hAnsi="微软雅黑"/>
          <w:noProof/>
          <w:sz w:val="20"/>
          <w:szCs w:val="20"/>
        </w:rPr>
        <w:lastRenderedPageBreak/>
        <w:drawing>
          <wp:inline distT="0" distB="0" distL="0" distR="0" wp14:anchorId="4AF7023A" wp14:editId="011D4271">
            <wp:extent cx="5734681" cy="32922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2149" cy="3302265"/>
                    </a:xfrm>
                    <a:prstGeom prst="rect">
                      <a:avLst/>
                    </a:prstGeom>
                  </pic:spPr>
                </pic:pic>
              </a:graphicData>
            </a:graphic>
          </wp:inline>
        </w:drawing>
      </w:r>
    </w:p>
    <w:p w14:paraId="75D915F3" w14:textId="3987E710" w:rsidR="00B9171D" w:rsidRPr="00431969" w:rsidRDefault="00B9171D" w:rsidP="00431969">
      <w:pPr>
        <w:spacing w:before="100" w:beforeAutospacing="1" w:after="100" w:afterAutospacing="1"/>
        <w:textAlignment w:val="baseline"/>
        <w:rPr>
          <w:rFonts w:ascii="微软雅黑" w:eastAsia="微软雅黑" w:hAnsi="微软雅黑" w:hint="eastAsia"/>
          <w:sz w:val="21"/>
          <w:szCs w:val="21"/>
        </w:rPr>
      </w:pPr>
      <w:r w:rsidRPr="001727AA">
        <w:rPr>
          <w:rFonts w:ascii="微软雅黑" w:eastAsia="微软雅黑" w:hAnsi="微软雅黑" w:hint="eastAsia"/>
          <w:sz w:val="21"/>
          <w:szCs w:val="21"/>
        </w:rPr>
        <w:t>在大量曝光，引爆品牌声量的同时，如何通过双11大促更好地树立品牌的形象，加深用户对品牌的印象，平台搜索端与品牌的产品部门联动，共同完成Nickname课题的打造，提高了双11预售预热期间卡西欧的圈层传播速度。</w:t>
      </w:r>
    </w:p>
    <w:p w14:paraId="461AEB97" w14:textId="2DB81599" w:rsidR="00B9171D" w:rsidRPr="000F7F85" w:rsidRDefault="00B9171D" w:rsidP="00431969">
      <w:pPr>
        <w:spacing w:before="100" w:beforeAutospacing="1" w:after="100" w:afterAutospacing="1"/>
        <w:textAlignment w:val="baseline"/>
        <w:rPr>
          <w:rFonts w:ascii="微软雅黑" w:eastAsia="微软雅黑" w:hAnsi="微软雅黑" w:hint="eastAsia"/>
          <w:sz w:val="20"/>
          <w:szCs w:val="20"/>
        </w:rPr>
      </w:pPr>
      <w:r w:rsidRPr="000F7F85">
        <w:rPr>
          <w:rFonts w:ascii="微软雅黑" w:eastAsia="微软雅黑" w:hAnsi="微软雅黑"/>
          <w:noProof/>
          <w:sz w:val="20"/>
          <w:szCs w:val="20"/>
        </w:rPr>
        <w:drawing>
          <wp:inline distT="0" distB="0" distL="0" distR="0" wp14:anchorId="5A8A9495" wp14:editId="1173066D">
            <wp:extent cx="5690859" cy="32397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1166" cy="3257015"/>
                    </a:xfrm>
                    <a:prstGeom prst="rect">
                      <a:avLst/>
                    </a:prstGeom>
                    <a:noFill/>
                  </pic:spPr>
                </pic:pic>
              </a:graphicData>
            </a:graphic>
          </wp:inline>
        </w:drawing>
      </w:r>
    </w:p>
    <w:p w14:paraId="11CCC997" w14:textId="783C7507" w:rsidR="00B9171D" w:rsidRPr="001727AA" w:rsidRDefault="00B9171D" w:rsidP="00431969">
      <w:pPr>
        <w:spacing w:before="100" w:beforeAutospacing="1" w:after="100" w:afterAutospacing="1"/>
        <w:textAlignment w:val="baseline"/>
        <w:rPr>
          <w:rFonts w:ascii="微软雅黑" w:eastAsia="微软雅黑" w:hAnsi="微软雅黑"/>
          <w:sz w:val="21"/>
          <w:szCs w:val="21"/>
        </w:rPr>
      </w:pPr>
      <w:r w:rsidRPr="001727AA">
        <w:rPr>
          <w:rFonts w:ascii="微软雅黑" w:eastAsia="微软雅黑" w:hAnsi="微软雅黑" w:hint="eastAsia"/>
          <w:b/>
          <w:bCs/>
          <w:sz w:val="21"/>
          <w:szCs w:val="21"/>
        </w:rPr>
        <w:t>在双11的爆发节点</w:t>
      </w:r>
      <w:r w:rsidRPr="001727AA">
        <w:rPr>
          <w:rFonts w:ascii="微软雅黑" w:eastAsia="微软雅黑" w:hAnsi="微软雅黑" w:hint="eastAsia"/>
          <w:sz w:val="21"/>
          <w:szCs w:val="21"/>
        </w:rPr>
        <w:t>，如何布局适合消费者的场景链路，占据属于品牌目标消费者光顾的时间，是制胜关键。通过京东多触点归因分析工具——优投实验室，对素材和人群做了A/B test，基于算法帮助品牌筛选出了更优质的人群和更持久留住用户的视觉页面，使品牌人群的点击转化全面提效。</w:t>
      </w:r>
    </w:p>
    <w:p w14:paraId="550EF523" w14:textId="0A215EAF" w:rsidR="00B9171D" w:rsidRPr="00431969" w:rsidRDefault="00B9171D" w:rsidP="00431969">
      <w:pPr>
        <w:spacing w:before="100" w:beforeAutospacing="1" w:after="100" w:afterAutospacing="1"/>
        <w:textAlignment w:val="baseline"/>
        <w:rPr>
          <w:rFonts w:ascii="微软雅黑" w:eastAsia="微软雅黑" w:hAnsi="微软雅黑"/>
          <w:sz w:val="20"/>
          <w:szCs w:val="20"/>
        </w:rPr>
      </w:pPr>
      <w:r w:rsidRPr="000F7F85">
        <w:rPr>
          <w:rFonts w:ascii="微软雅黑" w:eastAsia="微软雅黑" w:hAnsi="微软雅黑"/>
          <w:noProof/>
          <w:sz w:val="20"/>
          <w:szCs w:val="20"/>
        </w:rPr>
        <w:lastRenderedPageBreak/>
        <w:drawing>
          <wp:inline distT="0" distB="0" distL="0" distR="0" wp14:anchorId="04CA50ED" wp14:editId="608F58F5">
            <wp:extent cx="5801293" cy="324899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3191" cy="3255663"/>
                    </a:xfrm>
                    <a:prstGeom prst="rect">
                      <a:avLst/>
                    </a:prstGeom>
                    <a:noFill/>
                  </pic:spPr>
                </pic:pic>
              </a:graphicData>
            </a:graphic>
          </wp:inline>
        </w:drawing>
      </w:r>
    </w:p>
    <w:p w14:paraId="39DF30A2" w14:textId="77777777" w:rsidR="00B9171D" w:rsidRPr="001727AA" w:rsidRDefault="00B9171D" w:rsidP="00431969">
      <w:pPr>
        <w:spacing w:before="100" w:beforeAutospacing="1" w:after="100" w:afterAutospacing="1"/>
        <w:rPr>
          <w:rFonts w:ascii="微软雅黑" w:eastAsia="微软雅黑" w:hAnsi="微软雅黑" w:cs="微软雅黑"/>
          <w:sz w:val="21"/>
          <w:szCs w:val="21"/>
        </w:rPr>
      </w:pPr>
      <w:r w:rsidRPr="001727AA">
        <w:rPr>
          <w:rFonts w:ascii="微软雅黑" w:eastAsia="微软雅黑" w:hAnsi="微软雅黑" w:cs="微软雅黑" w:hint="eastAsia"/>
          <w:sz w:val="21"/>
          <w:szCs w:val="21"/>
        </w:rPr>
        <w:t>GOAL方法论不止能为品牌提供营销痛点的解决思路，从而提升品牌的运营效率。</w:t>
      </w:r>
    </w:p>
    <w:p w14:paraId="7F86D9B0" w14:textId="3D3A19B8" w:rsidR="00B9171D" w:rsidRPr="00431969" w:rsidRDefault="00B9171D" w:rsidP="00431969">
      <w:pPr>
        <w:spacing w:before="100" w:beforeAutospacing="1" w:after="100" w:afterAutospacing="1"/>
        <w:rPr>
          <w:rFonts w:ascii="微软雅黑" w:eastAsia="微软雅黑" w:hAnsi="微软雅黑" w:cs="微软雅黑" w:hint="eastAsia"/>
          <w:sz w:val="21"/>
          <w:szCs w:val="21"/>
        </w:rPr>
      </w:pPr>
      <w:r w:rsidRPr="001727AA">
        <w:rPr>
          <w:rFonts w:ascii="微软雅黑" w:eastAsia="微软雅黑" w:hAnsi="微软雅黑" w:cs="微软雅黑" w:hint="eastAsia"/>
          <w:sz w:val="21"/>
          <w:szCs w:val="21"/>
        </w:rPr>
        <w:t>其中的A（Advancing）更是提出了CLV价值模型，致力于品牌用户终身（长期）价值的持续运营，达到品牌高价值人群量与质的提升，使品牌保持活力，生意长青。CLV价值模型不仅是精细化分层分析人群，进行精准投放的工具；更是营销效率的监控指针，品牌发展的风向标。</w:t>
      </w:r>
    </w:p>
    <w:p w14:paraId="65036B47" w14:textId="78F97FE2" w:rsidR="00B9171D" w:rsidRPr="000F7F85" w:rsidRDefault="00B9171D" w:rsidP="00431969">
      <w:pPr>
        <w:spacing w:before="100" w:beforeAutospacing="1" w:after="100" w:afterAutospacing="1"/>
        <w:rPr>
          <w:rFonts w:ascii="微软雅黑" w:eastAsia="微软雅黑" w:hAnsi="微软雅黑" w:cs="微软雅黑" w:hint="eastAsia"/>
          <w:sz w:val="20"/>
          <w:szCs w:val="20"/>
        </w:rPr>
      </w:pPr>
      <w:r w:rsidRPr="000F7F85">
        <w:rPr>
          <w:rFonts w:ascii="微软雅黑" w:eastAsia="微软雅黑" w:hAnsi="微软雅黑"/>
          <w:noProof/>
          <w:sz w:val="20"/>
          <w:szCs w:val="20"/>
        </w:rPr>
        <w:drawing>
          <wp:inline distT="0" distB="0" distL="114300" distR="114300" wp14:anchorId="76548611" wp14:editId="23A83CED">
            <wp:extent cx="5713095" cy="3234055"/>
            <wp:effectExtent l="0" t="0" r="190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713095" cy="3234055"/>
                    </a:xfrm>
                    <a:prstGeom prst="rect">
                      <a:avLst/>
                    </a:prstGeom>
                    <a:noFill/>
                    <a:ln>
                      <a:noFill/>
                    </a:ln>
                  </pic:spPr>
                </pic:pic>
              </a:graphicData>
            </a:graphic>
          </wp:inline>
        </w:drawing>
      </w:r>
    </w:p>
    <w:p w14:paraId="4F3764B9" w14:textId="77777777" w:rsidR="00B9171D" w:rsidRPr="001727AA" w:rsidRDefault="00B9171D" w:rsidP="00431969">
      <w:pPr>
        <w:spacing w:before="100" w:beforeAutospacing="1" w:after="100" w:afterAutospacing="1"/>
        <w:rPr>
          <w:rFonts w:ascii="微软雅黑" w:eastAsia="微软雅黑" w:hAnsi="微软雅黑" w:cs="微软雅黑"/>
          <w:sz w:val="21"/>
          <w:szCs w:val="21"/>
        </w:rPr>
      </w:pPr>
      <w:r w:rsidRPr="001727AA">
        <w:rPr>
          <w:rFonts w:ascii="微软雅黑" w:eastAsia="微软雅黑" w:hAnsi="微软雅黑" w:cs="微软雅黑" w:hint="eastAsia"/>
          <w:sz w:val="21"/>
          <w:szCs w:val="21"/>
        </w:rPr>
        <w:t>最后，在CLV价值分层模型的基础上，如何搭建由高价值用户构成的私域品牌会员池，完善用户运营工具和资源的整合，从而生成不同品牌高价值用户运营的场景化解决方案，使得用户粘性增加，会员高效转化。京东从卡西欧的会员规模、会员购买比例的趋势分析入手，完善平台会员玩法，引导品牌用户忠诚增长。</w:t>
      </w:r>
    </w:p>
    <w:p w14:paraId="6878B6E4" w14:textId="69D98497" w:rsidR="00431969" w:rsidRPr="00431969" w:rsidRDefault="00B9171D" w:rsidP="00431969">
      <w:pPr>
        <w:spacing w:before="100" w:beforeAutospacing="1" w:after="100" w:afterAutospacing="1"/>
        <w:jc w:val="center"/>
        <w:rPr>
          <w:rFonts w:ascii="微软雅黑" w:eastAsia="微软雅黑" w:hAnsi="微软雅黑" w:cs="微软雅黑" w:hint="eastAsia"/>
          <w:sz w:val="20"/>
          <w:szCs w:val="20"/>
        </w:rPr>
      </w:pPr>
      <w:r w:rsidRPr="000F7F85">
        <w:rPr>
          <w:rFonts w:ascii="微软雅黑" w:eastAsia="微软雅黑" w:hAnsi="微软雅黑" w:cs="微软雅黑"/>
          <w:noProof/>
          <w:sz w:val="20"/>
          <w:szCs w:val="20"/>
        </w:rPr>
        <w:lastRenderedPageBreak/>
        <w:drawing>
          <wp:inline distT="0" distB="0" distL="0" distR="0" wp14:anchorId="08362897" wp14:editId="0EECDCA6">
            <wp:extent cx="5291847" cy="2818467"/>
            <wp:effectExtent l="0" t="0" r="444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5753" cy="2831200"/>
                    </a:xfrm>
                    <a:prstGeom prst="rect">
                      <a:avLst/>
                    </a:prstGeom>
                    <a:noFill/>
                  </pic:spPr>
                </pic:pic>
              </a:graphicData>
            </a:graphic>
          </wp:inline>
        </w:drawing>
      </w:r>
    </w:p>
    <w:p w14:paraId="7A0CAD94" w14:textId="2937D52D" w:rsidR="00BC7577" w:rsidRDefault="000631F9" w:rsidP="00431969">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188041C7" w14:textId="77777777" w:rsidR="00B9171D" w:rsidRDefault="00B9171D" w:rsidP="00431969">
      <w:pPr>
        <w:spacing w:before="100" w:beforeAutospacing="1" w:after="100" w:afterAutospacing="1"/>
        <w:textAlignment w:val="baseline"/>
        <w:rPr>
          <w:rFonts w:ascii="微软雅黑" w:eastAsia="微软雅黑" w:hAnsi="微软雅黑"/>
          <w:sz w:val="21"/>
          <w:szCs w:val="21"/>
        </w:rPr>
      </w:pPr>
      <w:r w:rsidRPr="00B9171D">
        <w:rPr>
          <w:rFonts w:ascii="微软雅黑" w:eastAsia="微软雅黑" w:hAnsi="微软雅黑"/>
          <w:sz w:val="21"/>
          <w:szCs w:val="21"/>
        </w:rPr>
        <w:t>GOAL项目使卡西欧完成了超品和双11的递进式爆发，双十一品牌京东侧销售KPI达成率102%、同比增长29%，G-四大核心靶群均环比超品提升48%+，O-A12向A3流转效率环比超品提升126%，京X合约广告数据回流数坊708W人次，会员数据环比超品提升7400%、跃居京东钟表TOP1。助力卡西欧在流量见顶市场得以破局，高效提升品牌4A资产转化率，帮助品牌沉淀可持续增长用户策略，反推品牌集团层面升级用户运营策略、乃至生意战略。</w:t>
      </w:r>
    </w:p>
    <w:p w14:paraId="5DF9E34E" w14:textId="5EA8DD30" w:rsidR="00B9171D" w:rsidRDefault="00B9171D" w:rsidP="00431969">
      <w:pPr>
        <w:spacing w:before="100" w:beforeAutospacing="1" w:after="100" w:afterAutospacing="1"/>
        <w:textAlignment w:val="baseline"/>
        <w:rPr>
          <w:rFonts w:ascii="微软雅黑" w:eastAsia="微软雅黑" w:hAnsi="微软雅黑"/>
          <w:sz w:val="21"/>
          <w:szCs w:val="21"/>
        </w:rPr>
      </w:pPr>
      <w:r w:rsidRPr="00B9171D">
        <w:rPr>
          <w:rFonts w:ascii="微软雅黑" w:eastAsia="微软雅黑" w:hAnsi="微软雅黑" w:hint="eastAsia"/>
          <w:sz w:val="21"/>
          <w:szCs w:val="21"/>
        </w:rPr>
        <w:t>本次京东</w:t>
      </w:r>
      <w:r w:rsidRPr="00B9171D">
        <w:rPr>
          <w:rFonts w:ascii="微软雅黑" w:eastAsia="微软雅黑" w:hAnsi="微软雅黑"/>
          <w:sz w:val="21"/>
          <w:szCs w:val="21"/>
        </w:rPr>
        <w:t>GOAL和卡西欧品牌的成功合作，不仅助力卡西欧品牌取得短期生意上的胜利和长期用户策略的升级，更为其他同类型品牌乃至电商营销行业提供有效借鉴。未来京东用户生命周期模型和用户增长模型将解决更多品牌用户运营的痛点，助力品牌持续制定更多维度、更多元化的增长策略</w:t>
      </w:r>
      <w:r>
        <w:rPr>
          <w:rFonts w:ascii="微软雅黑" w:eastAsia="微软雅黑" w:hAnsi="微软雅黑" w:hint="eastAsia"/>
          <w:sz w:val="21"/>
          <w:szCs w:val="21"/>
        </w:rPr>
        <w:t>。</w:t>
      </w:r>
    </w:p>
    <w:p w14:paraId="0F3A56D4" w14:textId="4C21B511" w:rsidR="00B9171D" w:rsidRPr="00B9171D" w:rsidRDefault="00B9171D" w:rsidP="00431969">
      <w:pPr>
        <w:spacing w:before="100" w:beforeAutospacing="1" w:after="100" w:afterAutospacing="1"/>
        <w:jc w:val="center"/>
        <w:textAlignment w:val="baseline"/>
        <w:rPr>
          <w:rFonts w:ascii="微软雅黑" w:eastAsia="微软雅黑" w:hAnsi="微软雅黑"/>
          <w:sz w:val="21"/>
          <w:szCs w:val="21"/>
        </w:rPr>
      </w:pPr>
      <w:r w:rsidRPr="000F7F85">
        <w:rPr>
          <w:rFonts w:ascii="微软雅黑" w:eastAsia="微软雅黑" w:hAnsi="微软雅黑"/>
          <w:noProof/>
          <w:sz w:val="20"/>
          <w:szCs w:val="20"/>
        </w:rPr>
        <w:drawing>
          <wp:inline distT="0" distB="0" distL="0" distR="0" wp14:anchorId="442C33E7" wp14:editId="29A01461">
            <wp:extent cx="5585355" cy="3142034"/>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650" cy="3151200"/>
                    </a:xfrm>
                    <a:prstGeom prst="rect">
                      <a:avLst/>
                    </a:prstGeom>
                  </pic:spPr>
                </pic:pic>
              </a:graphicData>
            </a:graphic>
          </wp:inline>
        </w:drawing>
      </w:r>
    </w:p>
    <w:sectPr w:rsidR="00B9171D" w:rsidRPr="00B9171D" w:rsidSect="00970C56">
      <w:headerReference w:type="even" r:id="rId21"/>
      <w:headerReference w:type="default" r:id="rId22"/>
      <w:footerReference w:type="even" r:id="rId23"/>
      <w:footerReference w:type="default" r:id="rId24"/>
      <w:headerReference w:type="first" r:id="rId25"/>
      <w:footerReference w:type="first" r:id="rId2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BE2E8" w14:textId="77777777" w:rsidR="00885697" w:rsidRDefault="00885697">
      <w:r>
        <w:separator/>
      </w:r>
    </w:p>
  </w:endnote>
  <w:endnote w:type="continuationSeparator" w:id="0">
    <w:p w14:paraId="4BC35A50" w14:textId="77777777" w:rsidR="00885697" w:rsidRDefault="0088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JDLangZhengTi">
    <w:panose1 w:val="020B0604020202020204"/>
    <w:charset w:val="86"/>
    <w:family w:val="auto"/>
    <w:notTrueType/>
    <w:pitch w:val="variable"/>
    <w:sig w:usb0="A00002BF" w:usb1="1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6B00" w14:textId="77777777" w:rsidR="00431969" w:rsidRDefault="0043196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184407" w14:textId="77777777" w:rsidR="00885697" w:rsidRDefault="00885697">
      <w:r>
        <w:separator/>
      </w:r>
    </w:p>
  </w:footnote>
  <w:footnote w:type="continuationSeparator" w:id="0">
    <w:p w14:paraId="65150FB9" w14:textId="77777777" w:rsidR="00885697" w:rsidRDefault="00885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F527C" w14:textId="77777777" w:rsidR="00431969" w:rsidRDefault="0043196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7"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6D30" w14:textId="77777777" w:rsidR="00431969" w:rsidRDefault="0043196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8D41EA7"/>
    <w:multiLevelType w:val="hybridMultilevel"/>
    <w:tmpl w:val="501827F6"/>
    <w:lvl w:ilvl="0" w:tplc="7868A096">
      <w:start w:val="1"/>
      <w:numFmt w:val="bullet"/>
      <w:lvlText w:val="•"/>
      <w:lvlJc w:val="left"/>
      <w:pPr>
        <w:tabs>
          <w:tab w:val="num" w:pos="720"/>
        </w:tabs>
        <w:ind w:left="720" w:hanging="360"/>
      </w:pPr>
      <w:rPr>
        <w:rFonts w:ascii="Arial" w:hAnsi="Arial" w:hint="default"/>
      </w:rPr>
    </w:lvl>
    <w:lvl w:ilvl="1" w:tplc="2820BC5E" w:tentative="1">
      <w:start w:val="1"/>
      <w:numFmt w:val="bullet"/>
      <w:lvlText w:val="•"/>
      <w:lvlJc w:val="left"/>
      <w:pPr>
        <w:tabs>
          <w:tab w:val="num" w:pos="1440"/>
        </w:tabs>
        <w:ind w:left="1440" w:hanging="360"/>
      </w:pPr>
      <w:rPr>
        <w:rFonts w:ascii="Arial" w:hAnsi="Arial" w:hint="default"/>
      </w:rPr>
    </w:lvl>
    <w:lvl w:ilvl="2" w:tplc="E892DE0C" w:tentative="1">
      <w:start w:val="1"/>
      <w:numFmt w:val="bullet"/>
      <w:lvlText w:val="•"/>
      <w:lvlJc w:val="left"/>
      <w:pPr>
        <w:tabs>
          <w:tab w:val="num" w:pos="2160"/>
        </w:tabs>
        <w:ind w:left="2160" w:hanging="360"/>
      </w:pPr>
      <w:rPr>
        <w:rFonts w:ascii="Arial" w:hAnsi="Arial" w:hint="default"/>
      </w:rPr>
    </w:lvl>
    <w:lvl w:ilvl="3" w:tplc="029E9ECE" w:tentative="1">
      <w:start w:val="1"/>
      <w:numFmt w:val="bullet"/>
      <w:lvlText w:val="•"/>
      <w:lvlJc w:val="left"/>
      <w:pPr>
        <w:tabs>
          <w:tab w:val="num" w:pos="2880"/>
        </w:tabs>
        <w:ind w:left="2880" w:hanging="360"/>
      </w:pPr>
      <w:rPr>
        <w:rFonts w:ascii="Arial" w:hAnsi="Arial" w:hint="default"/>
      </w:rPr>
    </w:lvl>
    <w:lvl w:ilvl="4" w:tplc="F58207D0" w:tentative="1">
      <w:start w:val="1"/>
      <w:numFmt w:val="bullet"/>
      <w:lvlText w:val="•"/>
      <w:lvlJc w:val="left"/>
      <w:pPr>
        <w:tabs>
          <w:tab w:val="num" w:pos="3600"/>
        </w:tabs>
        <w:ind w:left="3600" w:hanging="360"/>
      </w:pPr>
      <w:rPr>
        <w:rFonts w:ascii="Arial" w:hAnsi="Arial" w:hint="default"/>
      </w:rPr>
    </w:lvl>
    <w:lvl w:ilvl="5" w:tplc="23D4E47E" w:tentative="1">
      <w:start w:val="1"/>
      <w:numFmt w:val="bullet"/>
      <w:lvlText w:val="•"/>
      <w:lvlJc w:val="left"/>
      <w:pPr>
        <w:tabs>
          <w:tab w:val="num" w:pos="4320"/>
        </w:tabs>
        <w:ind w:left="4320" w:hanging="360"/>
      </w:pPr>
      <w:rPr>
        <w:rFonts w:ascii="Arial" w:hAnsi="Arial" w:hint="default"/>
      </w:rPr>
    </w:lvl>
    <w:lvl w:ilvl="6" w:tplc="49FA7734" w:tentative="1">
      <w:start w:val="1"/>
      <w:numFmt w:val="bullet"/>
      <w:lvlText w:val="•"/>
      <w:lvlJc w:val="left"/>
      <w:pPr>
        <w:tabs>
          <w:tab w:val="num" w:pos="5040"/>
        </w:tabs>
        <w:ind w:left="5040" w:hanging="360"/>
      </w:pPr>
      <w:rPr>
        <w:rFonts w:ascii="Arial" w:hAnsi="Arial" w:hint="default"/>
      </w:rPr>
    </w:lvl>
    <w:lvl w:ilvl="7" w:tplc="975C0EC4" w:tentative="1">
      <w:start w:val="1"/>
      <w:numFmt w:val="bullet"/>
      <w:lvlText w:val="•"/>
      <w:lvlJc w:val="left"/>
      <w:pPr>
        <w:tabs>
          <w:tab w:val="num" w:pos="5760"/>
        </w:tabs>
        <w:ind w:left="5760" w:hanging="360"/>
      </w:pPr>
      <w:rPr>
        <w:rFonts w:ascii="Arial" w:hAnsi="Arial" w:hint="default"/>
      </w:rPr>
    </w:lvl>
    <w:lvl w:ilvl="8" w:tplc="E878ED3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593C"/>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7A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1969"/>
    <w:rsid w:val="00443C7A"/>
    <w:rsid w:val="004452BA"/>
    <w:rsid w:val="0044677F"/>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A644C"/>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5F73"/>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392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5697"/>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95A88"/>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171D"/>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173C"/>
    <w:rsid w:val="00C171FB"/>
    <w:rsid w:val="00C272F9"/>
    <w:rsid w:val="00C40E03"/>
    <w:rsid w:val="00C5015C"/>
    <w:rsid w:val="00C516C8"/>
    <w:rsid w:val="00C55E92"/>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EF44D6"/>
    <w:rsid w:val="00F0134F"/>
    <w:rsid w:val="00F22C99"/>
    <w:rsid w:val="00F32B88"/>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9171D"/>
    <w:pPr>
      <w:widowControl w:val="0"/>
      <w:autoSpaceDE w:val="0"/>
      <w:autoSpaceDN w:val="0"/>
      <w:adjustRightInd w:val="0"/>
    </w:pPr>
    <w:rPr>
      <w:rFonts w:ascii="JDLangZhengTi" w:hAnsi="JDLangZhengTi" w:cs="JDLangZhengT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906720">
      <w:bodyDiv w:val="1"/>
      <w:marLeft w:val="0"/>
      <w:marRight w:val="0"/>
      <w:marTop w:val="0"/>
      <w:marBottom w:val="0"/>
      <w:divBdr>
        <w:top w:val="none" w:sz="0" w:space="0" w:color="auto"/>
        <w:left w:val="none" w:sz="0" w:space="0" w:color="auto"/>
        <w:bottom w:val="none" w:sz="0" w:space="0" w:color="auto"/>
        <w:right w:val="none" w:sz="0" w:space="0" w:color="auto"/>
      </w:divBdr>
    </w:div>
    <w:div w:id="164706621">
      <w:bodyDiv w:val="1"/>
      <w:marLeft w:val="0"/>
      <w:marRight w:val="0"/>
      <w:marTop w:val="0"/>
      <w:marBottom w:val="0"/>
      <w:divBdr>
        <w:top w:val="none" w:sz="0" w:space="0" w:color="auto"/>
        <w:left w:val="none" w:sz="0" w:space="0" w:color="auto"/>
        <w:bottom w:val="none" w:sz="0" w:space="0" w:color="auto"/>
        <w:right w:val="none" w:sz="0" w:space="0" w:color="auto"/>
      </w:divBdr>
    </w:div>
    <w:div w:id="41571370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840850749">
      <w:bodyDiv w:val="1"/>
      <w:marLeft w:val="0"/>
      <w:marRight w:val="0"/>
      <w:marTop w:val="0"/>
      <w:marBottom w:val="0"/>
      <w:divBdr>
        <w:top w:val="none" w:sz="0" w:space="0" w:color="auto"/>
        <w:left w:val="none" w:sz="0" w:space="0" w:color="auto"/>
        <w:bottom w:val="none" w:sz="0" w:space="0" w:color="auto"/>
        <w:right w:val="none" w:sz="0" w:space="0" w:color="auto"/>
      </w:divBdr>
    </w:div>
    <w:div w:id="899287298">
      <w:bodyDiv w:val="1"/>
      <w:marLeft w:val="0"/>
      <w:marRight w:val="0"/>
      <w:marTop w:val="0"/>
      <w:marBottom w:val="0"/>
      <w:divBdr>
        <w:top w:val="none" w:sz="0" w:space="0" w:color="auto"/>
        <w:left w:val="none" w:sz="0" w:space="0" w:color="auto"/>
        <w:bottom w:val="none" w:sz="0" w:space="0" w:color="auto"/>
        <w:right w:val="none" w:sz="0" w:space="0" w:color="auto"/>
      </w:divBdr>
    </w:div>
    <w:div w:id="1067993657">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4620752">
      <w:bodyDiv w:val="1"/>
      <w:marLeft w:val="0"/>
      <w:marRight w:val="0"/>
      <w:marTop w:val="0"/>
      <w:marBottom w:val="0"/>
      <w:divBdr>
        <w:top w:val="none" w:sz="0" w:space="0" w:color="auto"/>
        <w:left w:val="none" w:sz="0" w:space="0" w:color="auto"/>
        <w:bottom w:val="none" w:sz="0" w:space="0" w:color="auto"/>
        <w:right w:val="none" w:sz="0" w:space="0" w:color="auto"/>
      </w:divBdr>
      <w:divsChild>
        <w:div w:id="1610818557">
          <w:marLeft w:val="274"/>
          <w:marRight w:val="0"/>
          <w:marTop w:val="0"/>
          <w:marBottom w:val="0"/>
          <w:divBdr>
            <w:top w:val="none" w:sz="0" w:space="0" w:color="auto"/>
            <w:left w:val="none" w:sz="0" w:space="0" w:color="auto"/>
            <w:bottom w:val="none" w:sz="0" w:space="0" w:color="auto"/>
            <w:right w:val="none" w:sz="0" w:space="0" w:color="auto"/>
          </w:divBdr>
        </w:div>
        <w:div w:id="2006932081">
          <w:marLeft w:val="274"/>
          <w:marRight w:val="0"/>
          <w:marTop w:val="0"/>
          <w:marBottom w:val="0"/>
          <w:divBdr>
            <w:top w:val="none" w:sz="0" w:space="0" w:color="auto"/>
            <w:left w:val="none" w:sz="0" w:space="0" w:color="auto"/>
            <w:bottom w:val="none" w:sz="0" w:space="0" w:color="auto"/>
            <w:right w:val="none" w:sz="0" w:space="0" w:color="auto"/>
          </w:divBdr>
        </w:div>
        <w:div w:id="1671568588">
          <w:marLeft w:val="274"/>
          <w:marRight w:val="0"/>
          <w:marTop w:val="0"/>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645351441">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31344533">
      <w:bodyDiv w:val="1"/>
      <w:marLeft w:val="0"/>
      <w:marRight w:val="0"/>
      <w:marTop w:val="0"/>
      <w:marBottom w:val="0"/>
      <w:divBdr>
        <w:top w:val="none" w:sz="0" w:space="0" w:color="auto"/>
        <w:left w:val="none" w:sz="0" w:space="0" w:color="auto"/>
        <w:bottom w:val="none" w:sz="0" w:space="0" w:color="auto"/>
        <w:right w:val="none" w:sz="0" w:space="0" w:color="auto"/>
      </w:divBdr>
    </w:div>
    <w:div w:id="1934388239">
      <w:bodyDiv w:val="1"/>
      <w:marLeft w:val="0"/>
      <w:marRight w:val="0"/>
      <w:marTop w:val="0"/>
      <w:marBottom w:val="0"/>
      <w:divBdr>
        <w:top w:val="none" w:sz="0" w:space="0" w:color="auto"/>
        <w:left w:val="none" w:sz="0" w:space="0" w:color="auto"/>
        <w:bottom w:val="none" w:sz="0" w:space="0" w:color="auto"/>
        <w:right w:val="none" w:sz="0" w:space="0" w:color="auto"/>
      </w:divBdr>
      <w:divsChild>
        <w:div w:id="1062561262">
          <w:marLeft w:val="274"/>
          <w:marRight w:val="0"/>
          <w:marTop w:val="0"/>
          <w:marBottom w:val="0"/>
          <w:divBdr>
            <w:top w:val="none" w:sz="0" w:space="0" w:color="auto"/>
            <w:left w:val="none" w:sz="0" w:space="0" w:color="auto"/>
            <w:bottom w:val="none" w:sz="0" w:space="0" w:color="auto"/>
            <w:right w:val="none" w:sz="0" w:space="0" w:color="auto"/>
          </w:divBdr>
        </w:div>
      </w:divsChild>
    </w:div>
    <w:div w:id="2025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E48C93-A47E-9D46-9CCB-29B32980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415</Words>
  <Characters>2370</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2021-02-21T02:35:00Z</dcterms:created>
  <dcterms:modified xsi:type="dcterms:W3CDTF">2021-02-21T02:35:00Z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