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8e40d43eb59467b"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78DBCEF2" w:rsidR="008B689B" w:rsidRPr="00D90C74" w:rsidRDefault="00D90C74" w:rsidP="00061C30">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90C74">
        <w:rPr>
          <w:rFonts w:ascii="微软雅黑" w:eastAsia="微软雅黑" w:hAnsi="微软雅黑" w:hint="eastAsia"/>
          <w:b/>
          <w:sz w:val="32"/>
          <w:szCs w:val="32"/>
        </w:rPr>
        <w:t>惠普商用笔记本广告定向新突破</w:t>
      </w:r>
    </w:p>
    <w:p w14:paraId="0B14D8D6" w14:textId="573DE9C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1F70B4">
        <w:rPr>
          <w:rFonts w:ascii="微软雅黑" w:eastAsia="微软雅黑" w:hAnsi="微软雅黑" w:hint="eastAsia"/>
          <w:sz w:val="21"/>
          <w:szCs w:val="21"/>
        </w:rPr>
        <w:t>惠普</w:t>
      </w:r>
    </w:p>
    <w:p w14:paraId="39CF38F3" w14:textId="4EB297BA" w:rsidR="008B689B" w:rsidRPr="005329B0" w:rsidRDefault="008B689B" w:rsidP="002B1FC2">
      <w:pPr>
        <w:textAlignment w:val="baseline"/>
        <w:rPr>
          <w:rFonts w:ascii="微软雅黑" w:eastAsia="微软雅黑" w:hAnsi="微软雅黑"/>
          <w:bCs/>
          <w:sz w:val="21"/>
          <w:szCs w:val="21"/>
        </w:rPr>
      </w:pPr>
      <w:r w:rsidRPr="00E5768D">
        <w:rPr>
          <w:rFonts w:ascii="微软雅黑" w:eastAsia="微软雅黑" w:hAnsi="微软雅黑" w:hint="eastAsia"/>
          <w:b/>
          <w:sz w:val="21"/>
          <w:szCs w:val="21"/>
        </w:rPr>
        <w:t>所属行业</w:t>
      </w:r>
      <w:r w:rsidR="00350952">
        <w:rPr>
          <w:rFonts w:ascii="微软雅黑" w:eastAsia="微软雅黑" w:hAnsi="微软雅黑" w:hint="eastAsia"/>
          <w:b/>
          <w:sz w:val="21"/>
          <w:szCs w:val="21"/>
        </w:rPr>
        <w:t>：</w:t>
      </w:r>
      <w:r w:rsidR="000B79D6">
        <w:rPr>
          <w:rFonts w:ascii="微软雅黑" w:eastAsia="微软雅黑" w:hAnsi="微软雅黑" w:hint="eastAsia"/>
          <w:bCs/>
          <w:sz w:val="21"/>
          <w:szCs w:val="21"/>
        </w:rPr>
        <w:t>电脑（消费电子）</w:t>
      </w:r>
    </w:p>
    <w:p w14:paraId="5DC88663" w14:textId="34CDFE2C"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350952">
        <w:rPr>
          <w:rFonts w:ascii="微软雅黑" w:eastAsia="微软雅黑" w:hAnsi="微软雅黑" w:hint="eastAsia"/>
          <w:sz w:val="21"/>
          <w:szCs w:val="21"/>
        </w:rPr>
        <w:t>2020.10.20-11.20</w:t>
      </w:r>
    </w:p>
    <w:p w14:paraId="283EDB48" w14:textId="5D930A5C" w:rsidR="008875A4" w:rsidRPr="00D90C74" w:rsidRDefault="000631F9" w:rsidP="00D90C74">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5329B0">
        <w:rPr>
          <w:rFonts w:ascii="微软雅黑" w:eastAsia="微软雅黑" w:hAnsi="微软雅黑" w:hint="eastAsia"/>
          <w:bCs/>
          <w:sz w:val="21"/>
          <w:szCs w:val="21"/>
        </w:rPr>
        <w:t>电商营销类</w:t>
      </w:r>
      <w:bookmarkStart w:id="0" w:name="_GoBack"/>
      <w:bookmarkEnd w:id="0"/>
    </w:p>
    <w:p w14:paraId="6338C4B0" w14:textId="1EC0F931" w:rsidR="00FB7C79" w:rsidRPr="00F61776" w:rsidRDefault="000631F9" w:rsidP="00061C3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6EC2A7AA" w14:textId="77777777" w:rsidR="00FB7C79" w:rsidRPr="00D90C74" w:rsidRDefault="006A02B0"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双11期间，</w:t>
      </w:r>
      <w:r w:rsidR="00FB7C79" w:rsidRPr="00D90C74">
        <w:rPr>
          <w:rFonts w:ascii="微软雅黑" w:eastAsia="微软雅黑" w:hAnsi="微软雅黑" w:hint="eastAsia"/>
          <w:sz w:val="21"/>
          <w:szCs w:val="21"/>
        </w:rPr>
        <w:t>是各大电商平台广告狂轰乱炸的阶段，也是3</w:t>
      </w:r>
      <w:r w:rsidR="00FB7C79" w:rsidRPr="00D90C74">
        <w:rPr>
          <w:rFonts w:ascii="微软雅黑" w:eastAsia="微软雅黑" w:hAnsi="微软雅黑"/>
          <w:sz w:val="21"/>
          <w:szCs w:val="21"/>
        </w:rPr>
        <w:t>C</w:t>
      </w:r>
      <w:r w:rsidR="00FB7C79" w:rsidRPr="00D90C74">
        <w:rPr>
          <w:rFonts w:ascii="微软雅黑" w:eastAsia="微软雅黑" w:hAnsi="微软雅黑" w:hint="eastAsia"/>
          <w:sz w:val="21"/>
          <w:szCs w:val="21"/>
        </w:rPr>
        <w:t>品牌销售的关键点，品牌效果广告投放上常规用户定向上：</w:t>
      </w:r>
    </w:p>
    <w:p w14:paraId="2086B45E" w14:textId="08CA3A4A" w:rsidR="005329B0" w:rsidRPr="00D90C74" w:rsidRDefault="00FB7C79"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1.</w:t>
      </w:r>
      <w:r w:rsidR="00D90C74">
        <w:rPr>
          <w:rFonts w:ascii="微软雅黑" w:eastAsia="微软雅黑" w:hAnsi="微软雅黑"/>
          <w:sz w:val="21"/>
          <w:szCs w:val="21"/>
        </w:rPr>
        <w:t xml:space="preserve"> </w:t>
      </w:r>
      <w:r w:rsidRPr="00D90C74">
        <w:rPr>
          <w:rFonts w:ascii="微软雅黑" w:eastAsia="微软雅黑" w:hAnsi="微软雅黑" w:hint="eastAsia"/>
          <w:sz w:val="21"/>
          <w:szCs w:val="21"/>
        </w:rPr>
        <w:t>直接向类目人群扩充，试错成本高，效率逐渐降低。</w:t>
      </w:r>
    </w:p>
    <w:p w14:paraId="02BA1205" w14:textId="17BB94E1" w:rsidR="000631F9" w:rsidRPr="00061C30" w:rsidRDefault="006A02B0" w:rsidP="00061C30">
      <w:pPr>
        <w:spacing w:before="100" w:beforeAutospacing="1" w:after="100" w:afterAutospacing="1"/>
        <w:textAlignment w:val="baseline"/>
        <w:rPr>
          <w:rFonts w:ascii="微软雅黑" w:eastAsia="微软雅黑" w:hAnsi="微软雅黑" w:hint="eastAsia"/>
          <w:sz w:val="21"/>
          <w:szCs w:val="21"/>
        </w:rPr>
      </w:pPr>
      <w:r w:rsidRPr="00D90C74">
        <w:rPr>
          <w:rFonts w:ascii="微软雅黑" w:eastAsia="微软雅黑" w:hAnsi="微软雅黑" w:hint="eastAsia"/>
          <w:sz w:val="21"/>
          <w:szCs w:val="21"/>
        </w:rPr>
        <w:t>2.</w:t>
      </w:r>
      <w:r w:rsidR="00D90C74">
        <w:rPr>
          <w:rFonts w:ascii="微软雅黑" w:eastAsia="微软雅黑" w:hAnsi="微软雅黑"/>
          <w:sz w:val="21"/>
          <w:szCs w:val="21"/>
        </w:rPr>
        <w:t xml:space="preserve"> </w:t>
      </w:r>
      <w:r w:rsidR="00FB7C79" w:rsidRPr="00D90C74">
        <w:rPr>
          <w:rFonts w:ascii="微软雅黑" w:eastAsia="微软雅黑" w:hAnsi="微软雅黑" w:hint="eastAsia"/>
          <w:sz w:val="21"/>
          <w:szCs w:val="21"/>
        </w:rPr>
        <w:t>品牌的电商平台广告投放上，传统投放人群定向方法无法有力支撑目前的运营目标。综上，为了广告投放上的效率和转化都能够得到提升，</w:t>
      </w:r>
      <w:r w:rsidR="00FB7C79" w:rsidRPr="00D90C74">
        <w:rPr>
          <w:rFonts w:ascii="微软雅黑" w:eastAsia="微软雅黑" w:hAnsi="微软雅黑"/>
          <w:sz w:val="21"/>
          <w:szCs w:val="21"/>
        </w:rPr>
        <w:t xml:space="preserve"> </w:t>
      </w:r>
      <w:r w:rsidR="00FB7C79" w:rsidRPr="00D90C74">
        <w:rPr>
          <w:rFonts w:ascii="微软雅黑" w:eastAsia="微软雅黑" w:hAnsi="微软雅黑" w:hint="eastAsia"/>
          <w:sz w:val="21"/>
          <w:szCs w:val="21"/>
        </w:rPr>
        <w:t>因此需要有新的投放方法</w:t>
      </w:r>
      <w:r w:rsidR="00E03BB8" w:rsidRPr="00D90C74">
        <w:rPr>
          <w:rFonts w:ascii="微软雅黑" w:eastAsia="微软雅黑" w:hAnsi="微软雅黑" w:hint="eastAsia"/>
          <w:sz w:val="21"/>
          <w:szCs w:val="21"/>
        </w:rPr>
        <w:t>和</w:t>
      </w:r>
      <w:r w:rsidR="00FB7C79" w:rsidRPr="00D90C74">
        <w:rPr>
          <w:rFonts w:ascii="微软雅黑" w:eastAsia="微软雅黑" w:hAnsi="微软雅黑" w:hint="eastAsia"/>
          <w:sz w:val="21"/>
          <w:szCs w:val="21"/>
        </w:rPr>
        <w:t>人群定向探索。</w:t>
      </w:r>
    </w:p>
    <w:p w14:paraId="7F863528" w14:textId="50D3C2E9" w:rsidR="006A02B0" w:rsidRPr="00F61776" w:rsidRDefault="000631F9" w:rsidP="00061C3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6DDA0F0C" w:rsidR="00E40EE7" w:rsidRPr="00E52894" w:rsidRDefault="00E52894" w:rsidP="00061C30">
      <w:pPr>
        <w:spacing w:before="100" w:beforeAutospacing="1" w:after="100" w:afterAutospacing="1"/>
        <w:textAlignment w:val="baseline"/>
        <w:rPr>
          <w:rFonts w:ascii="微软雅黑" w:eastAsia="微软雅黑" w:hAnsi="微软雅黑" w:hint="eastAsia"/>
          <w:sz w:val="21"/>
          <w:szCs w:val="21"/>
        </w:rPr>
      </w:pPr>
      <w:r w:rsidRPr="00D90C74">
        <w:rPr>
          <w:rFonts w:ascii="微软雅黑" w:eastAsia="微软雅黑" w:hAnsi="微软雅黑" w:hint="eastAsia"/>
          <w:sz w:val="21"/>
          <w:szCs w:val="21"/>
        </w:rPr>
        <w:t>通过全新的人群圈选方法，</w:t>
      </w:r>
      <w:r w:rsidR="006A02B0" w:rsidRPr="00D90C74">
        <w:rPr>
          <w:rFonts w:ascii="微软雅黑" w:eastAsia="微软雅黑" w:hAnsi="微软雅黑" w:hint="eastAsia"/>
          <w:sz w:val="21"/>
          <w:szCs w:val="21"/>
        </w:rPr>
        <w:t>探索出新的人群定向思路和方法，使人群定向更加准确，投放效率更高</w:t>
      </w:r>
      <w:r w:rsidR="00061C30">
        <w:rPr>
          <w:rFonts w:ascii="微软雅黑" w:eastAsia="微软雅黑" w:hAnsi="微软雅黑" w:hint="eastAsia"/>
          <w:sz w:val="21"/>
          <w:szCs w:val="21"/>
        </w:rPr>
        <w:t>。</w:t>
      </w:r>
    </w:p>
    <w:p w14:paraId="40607E58" w14:textId="77777777" w:rsidR="00B5241D" w:rsidRPr="002B1FC2" w:rsidRDefault="000631F9" w:rsidP="00061C3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533FE8CB" w:rsidR="000631F9" w:rsidRPr="00D90C74" w:rsidRDefault="00E52894"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双11期间，惠普商用笔记本在人群上既有创新突破，也有历史好的经验复用。策略如下：</w:t>
      </w:r>
    </w:p>
    <w:p w14:paraId="34918DCF" w14:textId="77777777" w:rsidR="00E52894" w:rsidRPr="00D90C74" w:rsidRDefault="00E52894" w:rsidP="00061C30">
      <w:pPr>
        <w:spacing w:before="100" w:beforeAutospacing="1" w:after="100" w:afterAutospacing="1"/>
        <w:textAlignment w:val="baseline"/>
        <w:rPr>
          <w:rFonts w:ascii="微软雅黑" w:eastAsia="微软雅黑" w:hAnsi="微软雅黑"/>
          <w:b/>
          <w:bCs/>
          <w:sz w:val="21"/>
          <w:szCs w:val="21"/>
        </w:rPr>
      </w:pPr>
      <w:r w:rsidRPr="00D90C74">
        <w:rPr>
          <w:rFonts w:ascii="微软雅黑" w:eastAsia="微软雅黑" w:hAnsi="微软雅黑" w:hint="eastAsia"/>
          <w:b/>
          <w:bCs/>
          <w:sz w:val="21"/>
          <w:szCs w:val="21"/>
        </w:rPr>
        <w:t>创新方面</w:t>
      </w:r>
    </w:p>
    <w:p w14:paraId="6973A095" w14:textId="5C5B2C0D" w:rsidR="00E52894" w:rsidRPr="00D90C74" w:rsidRDefault="00CF6DE8" w:rsidP="00061C30">
      <w:pPr>
        <w:pStyle w:val="ab"/>
        <w:numPr>
          <w:ilvl w:val="0"/>
          <w:numId w:val="17"/>
        </w:numPr>
        <w:spacing w:before="100" w:beforeAutospacing="1" w:after="100" w:afterAutospacing="1"/>
        <w:ind w:left="0" w:firstLineChars="0" w:firstLine="0"/>
        <w:rPr>
          <w:rFonts w:ascii="微软雅黑" w:eastAsia="微软雅黑" w:hAnsi="微软雅黑"/>
          <w:szCs w:val="21"/>
        </w:rPr>
      </w:pPr>
      <w:r w:rsidRPr="00D90C74">
        <w:rPr>
          <w:rFonts w:ascii="微软雅黑" w:eastAsia="微软雅黑" w:hAnsi="微软雅黑"/>
          <w:szCs w:val="21"/>
        </w:rPr>
        <w:t>战66G4发布后，为提升种草效果，通过与</w:t>
      </w:r>
      <w:r w:rsidRPr="00D90C74">
        <w:rPr>
          <w:rFonts w:ascii="微软雅黑" w:eastAsia="微软雅黑" w:hAnsi="微软雅黑" w:hint="eastAsia"/>
          <w:szCs w:val="21"/>
        </w:rPr>
        <w:t>惠普数据科学家Sarah的</w:t>
      </w:r>
      <w:r w:rsidRPr="00D90C74">
        <w:rPr>
          <w:rFonts w:ascii="微软雅黑" w:eastAsia="微软雅黑" w:hAnsi="微软雅黑"/>
          <w:szCs w:val="21"/>
        </w:rPr>
        <w:t>合作对人</w:t>
      </w:r>
      <w:r w:rsidR="00B1539D" w:rsidRPr="00D90C74">
        <w:rPr>
          <w:rFonts w:ascii="微软雅黑" w:eastAsia="微软雅黑" w:hAnsi="微软雅黑" w:hint="eastAsia"/>
          <w:szCs w:val="21"/>
        </w:rPr>
        <w:t>群</w:t>
      </w:r>
      <w:r w:rsidRPr="00D90C74">
        <w:rPr>
          <w:rFonts w:ascii="微软雅黑" w:eastAsia="微软雅黑" w:hAnsi="微软雅黑" w:hint="eastAsia"/>
          <w:szCs w:val="21"/>
        </w:rPr>
        <w:t>进行</w:t>
      </w:r>
      <w:r w:rsidR="00B1539D" w:rsidRPr="00D90C74">
        <w:rPr>
          <w:rFonts w:ascii="微软雅黑" w:eastAsia="微软雅黑" w:hAnsi="微软雅黑" w:hint="eastAsia"/>
          <w:szCs w:val="21"/>
        </w:rPr>
        <w:t>重新划分和</w:t>
      </w:r>
      <w:r w:rsidRPr="00D90C74">
        <w:rPr>
          <w:rFonts w:ascii="微软雅黑" w:eastAsia="微软雅黑" w:hAnsi="微软雅黑" w:hint="eastAsia"/>
          <w:szCs w:val="21"/>
        </w:rPr>
        <w:t>圈选。</w:t>
      </w:r>
    </w:p>
    <w:p w14:paraId="4705EF41" w14:textId="662E81FB" w:rsidR="00CF6DE8" w:rsidRPr="00D90C74" w:rsidRDefault="00CF6DE8" w:rsidP="00061C30">
      <w:pPr>
        <w:pStyle w:val="ab"/>
        <w:numPr>
          <w:ilvl w:val="0"/>
          <w:numId w:val="17"/>
        </w:numPr>
        <w:spacing w:before="100" w:beforeAutospacing="1" w:after="100" w:afterAutospacing="1"/>
        <w:ind w:left="0" w:firstLineChars="0" w:firstLine="0"/>
        <w:rPr>
          <w:rFonts w:ascii="微软雅黑" w:eastAsia="微软雅黑" w:hAnsi="微软雅黑"/>
          <w:szCs w:val="21"/>
        </w:rPr>
      </w:pPr>
      <w:r w:rsidRPr="00D90C74">
        <w:rPr>
          <w:rFonts w:ascii="微软雅黑" w:eastAsia="微软雅黑" w:hAnsi="微软雅黑"/>
          <w:szCs w:val="21"/>
        </w:rPr>
        <w:t>本次双11与JD数据部门合作</w:t>
      </w:r>
      <w:r w:rsidR="00B1539D" w:rsidRPr="00D90C74">
        <w:rPr>
          <w:rFonts w:ascii="微软雅黑" w:eastAsia="微软雅黑" w:hAnsi="微软雅黑" w:hint="eastAsia"/>
          <w:szCs w:val="21"/>
        </w:rPr>
        <w:t>共建，加入实时预测人群行为功能的人群包。</w:t>
      </w:r>
    </w:p>
    <w:p w14:paraId="33118B82" w14:textId="3BDA76A2" w:rsidR="00E52894" w:rsidRPr="00D90C74" w:rsidRDefault="00E52894" w:rsidP="00061C30">
      <w:pPr>
        <w:spacing w:before="100" w:beforeAutospacing="1" w:after="100" w:afterAutospacing="1"/>
        <w:textAlignment w:val="baseline"/>
        <w:rPr>
          <w:rFonts w:ascii="微软雅黑" w:eastAsia="微软雅黑" w:hAnsi="微软雅黑"/>
          <w:b/>
          <w:bCs/>
          <w:sz w:val="21"/>
          <w:szCs w:val="21"/>
        </w:rPr>
      </w:pPr>
      <w:r w:rsidRPr="00D90C74">
        <w:rPr>
          <w:rFonts w:ascii="微软雅黑" w:eastAsia="微软雅黑" w:hAnsi="微软雅黑" w:hint="eastAsia"/>
          <w:b/>
          <w:bCs/>
          <w:sz w:val="21"/>
          <w:szCs w:val="21"/>
        </w:rPr>
        <w:t>优秀经验复用方面</w:t>
      </w:r>
    </w:p>
    <w:p w14:paraId="4321C1C9" w14:textId="6B130758" w:rsidR="00E52894" w:rsidRPr="00D90C74" w:rsidRDefault="00E52894" w:rsidP="00061C30">
      <w:pPr>
        <w:pStyle w:val="ab"/>
        <w:numPr>
          <w:ilvl w:val="0"/>
          <w:numId w:val="18"/>
        </w:numPr>
        <w:spacing w:before="100" w:beforeAutospacing="1" w:after="100" w:afterAutospacing="1"/>
        <w:ind w:left="0" w:firstLineChars="0" w:firstLine="0"/>
        <w:rPr>
          <w:rFonts w:ascii="微软雅黑" w:eastAsia="微软雅黑" w:hAnsi="微软雅黑"/>
          <w:szCs w:val="21"/>
        </w:rPr>
      </w:pPr>
      <w:r w:rsidRPr="00D90C74">
        <w:rPr>
          <w:rFonts w:ascii="微软雅黑" w:eastAsia="微软雅黑" w:hAnsi="微软雅黑" w:hint="eastAsia"/>
          <w:szCs w:val="21"/>
        </w:rPr>
        <w:t>为了进一步拓展品牌</w:t>
      </w:r>
      <w:r w:rsidR="004C5E7C" w:rsidRPr="00D90C74">
        <w:rPr>
          <w:rFonts w:ascii="微软雅黑" w:eastAsia="微软雅黑" w:hAnsi="微软雅黑" w:hint="eastAsia"/>
          <w:szCs w:val="21"/>
        </w:rPr>
        <w:t>受众</w:t>
      </w:r>
      <w:r w:rsidRPr="00D90C74">
        <w:rPr>
          <w:rFonts w:ascii="微软雅黑" w:eastAsia="微软雅黑" w:hAnsi="微软雅黑" w:hint="eastAsia"/>
          <w:szCs w:val="21"/>
        </w:rPr>
        <w:t>，通过京准通DMP购买偏好笔记本，与消费者浏览、点击、购买行为做交集圈包。相关类目及品牌的人群</w:t>
      </w:r>
      <w:r w:rsidR="00061C30">
        <w:rPr>
          <w:rFonts w:ascii="微软雅黑" w:eastAsia="微软雅黑" w:hAnsi="微软雅黑" w:hint="eastAsia"/>
          <w:szCs w:val="21"/>
        </w:rPr>
        <w:t>。</w:t>
      </w:r>
    </w:p>
    <w:p w14:paraId="5245F473" w14:textId="0DA7F79F" w:rsidR="005A2EEC" w:rsidRPr="00D90C74" w:rsidRDefault="00E52894" w:rsidP="00061C30">
      <w:pPr>
        <w:pStyle w:val="ab"/>
        <w:numPr>
          <w:ilvl w:val="0"/>
          <w:numId w:val="18"/>
        </w:numPr>
        <w:spacing w:before="100" w:beforeAutospacing="1" w:after="100" w:afterAutospacing="1"/>
        <w:ind w:left="0" w:firstLineChars="0" w:firstLine="0"/>
        <w:rPr>
          <w:rFonts w:ascii="微软雅黑" w:eastAsia="微软雅黑" w:hAnsi="微软雅黑" w:hint="eastAsia"/>
          <w:szCs w:val="21"/>
        </w:rPr>
      </w:pPr>
      <w:r w:rsidRPr="00D90C74">
        <w:rPr>
          <w:rFonts w:ascii="微软雅黑" w:eastAsia="微软雅黑" w:hAnsi="微软雅黑" w:hint="eastAsia"/>
          <w:szCs w:val="21"/>
        </w:rPr>
        <w:t>同时为了提升那些购买用户的C</w:t>
      </w:r>
      <w:r w:rsidRPr="00D90C74">
        <w:rPr>
          <w:rFonts w:ascii="微软雅黑" w:eastAsia="微软雅黑" w:hAnsi="微软雅黑"/>
          <w:szCs w:val="21"/>
        </w:rPr>
        <w:t>LV</w:t>
      </w:r>
      <w:r w:rsidRPr="00D90C74">
        <w:rPr>
          <w:rFonts w:ascii="微软雅黑" w:eastAsia="微软雅黑" w:hAnsi="微软雅黑" w:hint="eastAsia"/>
          <w:szCs w:val="21"/>
        </w:rPr>
        <w:t>和终身价值，做了品牌粉丝/会员/已购/加购人群的广告触达</w:t>
      </w:r>
      <w:r w:rsidR="00E03BB8" w:rsidRPr="00D90C74">
        <w:rPr>
          <w:rFonts w:ascii="微软雅黑" w:eastAsia="微软雅黑" w:hAnsi="微软雅黑" w:hint="eastAsia"/>
          <w:szCs w:val="21"/>
        </w:rPr>
        <w:t>投放</w:t>
      </w:r>
      <w:r w:rsidRPr="00D90C74">
        <w:rPr>
          <w:rFonts w:ascii="微软雅黑" w:eastAsia="微软雅黑" w:hAnsi="微软雅黑" w:hint="eastAsia"/>
          <w:szCs w:val="21"/>
        </w:rPr>
        <w:t>。</w:t>
      </w:r>
    </w:p>
    <w:p w14:paraId="29F1A15F" w14:textId="7B112425" w:rsidR="00653113" w:rsidRPr="005A2EEC" w:rsidRDefault="000631F9" w:rsidP="00061C3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A47F7A6" w14:textId="0AD8150D" w:rsidR="004A007C" w:rsidRPr="00D90C74" w:rsidRDefault="00E52894" w:rsidP="00061C30">
      <w:pPr>
        <w:spacing w:before="100" w:beforeAutospacing="1" w:after="100" w:afterAutospacing="1"/>
        <w:textAlignment w:val="baseline"/>
        <w:rPr>
          <w:rFonts w:ascii="微软雅黑" w:eastAsia="微软雅黑" w:hAnsi="微软雅黑"/>
          <w:b/>
          <w:bCs/>
          <w:sz w:val="21"/>
          <w:szCs w:val="21"/>
        </w:rPr>
      </w:pPr>
      <w:r w:rsidRPr="00D90C74">
        <w:rPr>
          <w:rFonts w:ascii="微软雅黑" w:eastAsia="微软雅黑" w:hAnsi="微软雅黑" w:hint="eastAsia"/>
          <w:b/>
          <w:bCs/>
          <w:sz w:val="21"/>
          <w:szCs w:val="21"/>
        </w:rPr>
        <w:t>在人群圈选上</w:t>
      </w:r>
    </w:p>
    <w:p w14:paraId="5CCD742D" w14:textId="3C71D23F" w:rsidR="00E52894" w:rsidRPr="00D90C74" w:rsidRDefault="00E52894" w:rsidP="00061C30">
      <w:pPr>
        <w:pStyle w:val="ab"/>
        <w:numPr>
          <w:ilvl w:val="0"/>
          <w:numId w:val="20"/>
        </w:numPr>
        <w:spacing w:before="100" w:beforeAutospacing="1" w:after="100" w:afterAutospacing="1"/>
        <w:ind w:left="0" w:firstLineChars="0" w:firstLine="0"/>
        <w:textAlignment w:val="baseline"/>
        <w:rPr>
          <w:rFonts w:ascii="微软雅黑" w:eastAsia="微软雅黑" w:hAnsi="微软雅黑"/>
          <w:szCs w:val="21"/>
        </w:rPr>
      </w:pPr>
      <w:r w:rsidRPr="00D90C74">
        <w:rPr>
          <w:rFonts w:ascii="微软雅黑" w:eastAsia="微软雅黑" w:hAnsi="微软雅黑" w:hint="eastAsia"/>
          <w:szCs w:val="21"/>
        </w:rPr>
        <w:lastRenderedPageBreak/>
        <w:t>我们通过与</w:t>
      </w:r>
      <w:r w:rsidR="00CF6DE8" w:rsidRPr="00D90C74">
        <w:rPr>
          <w:rFonts w:ascii="微软雅黑" w:eastAsia="微软雅黑" w:hAnsi="微软雅黑" w:hint="eastAsia"/>
          <w:szCs w:val="21"/>
        </w:rPr>
        <w:t>惠普数据</w:t>
      </w:r>
      <w:r w:rsidRPr="00D90C74">
        <w:rPr>
          <w:rFonts w:ascii="微软雅黑" w:eastAsia="微软雅黑" w:hAnsi="微软雅黑" w:hint="eastAsia"/>
          <w:szCs w:val="21"/>
        </w:rPr>
        <w:t>科学家</w:t>
      </w:r>
      <w:r w:rsidR="00CF6DE8" w:rsidRPr="00D90C74">
        <w:rPr>
          <w:rFonts w:ascii="微软雅黑" w:eastAsia="微软雅黑" w:hAnsi="微软雅黑" w:hint="eastAsia"/>
          <w:szCs w:val="21"/>
        </w:rPr>
        <w:t>Sarah</w:t>
      </w:r>
      <w:r w:rsidRPr="00D90C74">
        <w:rPr>
          <w:rFonts w:ascii="微软雅黑" w:eastAsia="微软雅黑" w:hAnsi="微软雅黑" w:hint="eastAsia"/>
          <w:szCs w:val="21"/>
        </w:rPr>
        <w:t>的合作，对战66上新笔记本</w:t>
      </w:r>
      <w:r w:rsidR="00CF6DE8" w:rsidRPr="00D90C74">
        <w:rPr>
          <w:rFonts w:ascii="微软雅黑" w:eastAsia="微软雅黑" w:hAnsi="微软雅黑"/>
          <w:szCs w:val="21"/>
        </w:rPr>
        <w:t>群进行多维点阵分析，最后组包进行投放</w:t>
      </w:r>
      <w:r w:rsidR="00CF6DE8" w:rsidRPr="00D90C74">
        <w:rPr>
          <w:rFonts w:ascii="微软雅黑" w:eastAsia="微软雅黑" w:hAnsi="微软雅黑" w:hint="eastAsia"/>
          <w:szCs w:val="21"/>
        </w:rPr>
        <w:t>根据对已购人群做特征聚类，对相同特征人群拓包，并对人群实时购买意向抓取，推送广告触达。</w:t>
      </w:r>
    </w:p>
    <w:p w14:paraId="44F7FD5F" w14:textId="759B8A3C" w:rsidR="00CF6DE8" w:rsidRPr="00D90C74" w:rsidRDefault="00CF6DE8" w:rsidP="00061C30">
      <w:pPr>
        <w:pStyle w:val="ab"/>
        <w:numPr>
          <w:ilvl w:val="0"/>
          <w:numId w:val="20"/>
        </w:numPr>
        <w:spacing w:before="100" w:beforeAutospacing="1" w:after="100" w:afterAutospacing="1"/>
        <w:ind w:left="0" w:firstLineChars="0" w:firstLine="0"/>
        <w:textAlignment w:val="baseline"/>
        <w:rPr>
          <w:rFonts w:ascii="微软雅黑" w:eastAsia="微软雅黑" w:hAnsi="微软雅黑"/>
          <w:szCs w:val="21"/>
        </w:rPr>
      </w:pPr>
      <w:r w:rsidRPr="00D90C74">
        <w:rPr>
          <w:rFonts w:ascii="微软雅黑" w:eastAsia="微软雅黑" w:hAnsi="微软雅黑"/>
          <w:szCs w:val="21"/>
        </w:rPr>
        <w:t>通过</w:t>
      </w:r>
      <w:r w:rsidRPr="00D90C74">
        <w:rPr>
          <w:rFonts w:ascii="微软雅黑" w:eastAsia="微软雅黑" w:hAnsi="微软雅黑" w:hint="eastAsia"/>
          <w:szCs w:val="21"/>
        </w:rPr>
        <w:t>与J</w:t>
      </w:r>
      <w:r w:rsidRPr="00D90C74">
        <w:rPr>
          <w:rFonts w:ascii="微软雅黑" w:eastAsia="微软雅黑" w:hAnsi="微软雅黑"/>
          <w:szCs w:val="21"/>
        </w:rPr>
        <w:t>D</w:t>
      </w:r>
      <w:r w:rsidRPr="00D90C74">
        <w:rPr>
          <w:rFonts w:ascii="微软雅黑" w:eastAsia="微软雅黑" w:hAnsi="微软雅黑" w:hint="eastAsia"/>
          <w:szCs w:val="21"/>
        </w:rPr>
        <w:t>平台数据部门的合作，应用数坊</w:t>
      </w:r>
      <w:proofErr w:type="spellStart"/>
      <w:r w:rsidRPr="00D90C74">
        <w:rPr>
          <w:rFonts w:ascii="微软雅黑" w:eastAsia="微软雅黑" w:hAnsi="微软雅黑"/>
          <w:szCs w:val="21"/>
        </w:rPr>
        <w:t>Datelab</w:t>
      </w:r>
      <w:proofErr w:type="spellEnd"/>
      <w:r w:rsidRPr="00D90C74">
        <w:rPr>
          <w:rFonts w:ascii="微软雅黑" w:eastAsia="微软雅黑" w:hAnsi="微软雅黑"/>
          <w:szCs w:val="21"/>
        </w:rPr>
        <w:t>圈定加入了实时对人群行为洞察功能的人群投放，对上线顾客行为做出预判后，及时广告触达</w:t>
      </w:r>
      <w:r w:rsidRPr="00D90C74">
        <w:rPr>
          <w:rFonts w:ascii="微软雅黑" w:eastAsia="微软雅黑" w:hAnsi="微软雅黑" w:hint="eastAsia"/>
          <w:szCs w:val="21"/>
        </w:rPr>
        <w:t>。</w:t>
      </w:r>
    </w:p>
    <w:p w14:paraId="7AA44716" w14:textId="77777777" w:rsidR="00653113" w:rsidRPr="00D90C74" w:rsidRDefault="00653113" w:rsidP="00061C30">
      <w:pPr>
        <w:spacing w:before="100" w:beforeAutospacing="1" w:after="100" w:afterAutospacing="1"/>
        <w:textAlignment w:val="baseline"/>
        <w:rPr>
          <w:rFonts w:ascii="微软雅黑" w:eastAsia="微软雅黑" w:hAnsi="微软雅黑"/>
          <w:b/>
          <w:bCs/>
          <w:sz w:val="21"/>
          <w:szCs w:val="21"/>
        </w:rPr>
      </w:pPr>
      <w:r w:rsidRPr="00D90C74">
        <w:rPr>
          <w:rFonts w:ascii="微软雅黑" w:eastAsia="微软雅黑" w:hAnsi="微软雅黑" w:hint="eastAsia"/>
          <w:b/>
          <w:bCs/>
          <w:sz w:val="21"/>
          <w:szCs w:val="21"/>
        </w:rPr>
        <w:t>执行周期：</w:t>
      </w:r>
    </w:p>
    <w:p w14:paraId="0B4819E5" w14:textId="5C83840D" w:rsidR="00653113" w:rsidRPr="00D90C74" w:rsidRDefault="00653113"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预热期10月21日~10月30日：在预定期，多以分期免息利</w:t>
      </w:r>
      <w:r w:rsidR="004C5E7C" w:rsidRPr="00D90C74">
        <w:rPr>
          <w:rFonts w:ascii="微软雅黑" w:eastAsia="微软雅黑" w:hAnsi="微软雅黑" w:hint="eastAsia"/>
          <w:sz w:val="21"/>
          <w:szCs w:val="21"/>
        </w:rPr>
        <w:t>这个</w:t>
      </w:r>
      <w:r w:rsidRPr="00D90C74">
        <w:rPr>
          <w:rFonts w:ascii="微软雅黑" w:eastAsia="微软雅黑" w:hAnsi="微软雅黑" w:hint="eastAsia"/>
          <w:sz w:val="21"/>
          <w:szCs w:val="21"/>
        </w:rPr>
        <w:t>益点</w:t>
      </w:r>
      <w:r w:rsidR="004C5E7C" w:rsidRPr="00D90C74">
        <w:rPr>
          <w:rFonts w:ascii="微软雅黑" w:eastAsia="微软雅黑" w:hAnsi="微软雅黑" w:hint="eastAsia"/>
          <w:sz w:val="21"/>
          <w:szCs w:val="21"/>
        </w:rPr>
        <w:t>，</w:t>
      </w:r>
      <w:r w:rsidRPr="00D90C74">
        <w:rPr>
          <w:rFonts w:ascii="微软雅黑" w:eastAsia="微软雅黑" w:hAnsi="微软雅黑" w:hint="eastAsia"/>
          <w:sz w:val="21"/>
          <w:szCs w:val="21"/>
        </w:rPr>
        <w:t>个性</w:t>
      </w:r>
      <w:r w:rsidR="004C5E7C" w:rsidRPr="00D90C74">
        <w:rPr>
          <w:rFonts w:ascii="微软雅黑" w:eastAsia="微软雅黑" w:hAnsi="微软雅黑" w:hint="eastAsia"/>
          <w:sz w:val="21"/>
          <w:szCs w:val="21"/>
        </w:rPr>
        <w:t>化</w:t>
      </w:r>
      <w:r w:rsidRPr="00D90C74">
        <w:rPr>
          <w:rFonts w:ascii="微软雅黑" w:eastAsia="微软雅黑" w:hAnsi="微软雅黑" w:hint="eastAsia"/>
          <w:sz w:val="21"/>
          <w:szCs w:val="21"/>
        </w:rPr>
        <w:t>触达消费者，让消费者</w:t>
      </w:r>
      <w:r w:rsidR="005A2EEC" w:rsidRPr="00D90C74">
        <w:rPr>
          <w:rFonts w:ascii="微软雅黑" w:eastAsia="微软雅黑" w:hAnsi="微软雅黑" w:hint="eastAsia"/>
          <w:sz w:val="21"/>
          <w:szCs w:val="21"/>
        </w:rPr>
        <w:t>有</w:t>
      </w:r>
      <w:r w:rsidRPr="00D90C74">
        <w:rPr>
          <w:rFonts w:ascii="微软雅黑" w:eastAsia="微软雅黑" w:hAnsi="微软雅黑" w:hint="eastAsia"/>
          <w:sz w:val="21"/>
          <w:szCs w:val="21"/>
        </w:rPr>
        <w:t>更多的选择和转化的可能</w:t>
      </w:r>
      <w:r w:rsidR="005A2EEC" w:rsidRPr="00D90C74">
        <w:rPr>
          <w:rFonts w:ascii="微软雅黑" w:eastAsia="微软雅黑" w:hAnsi="微软雅黑" w:hint="eastAsia"/>
          <w:sz w:val="21"/>
          <w:szCs w:val="21"/>
        </w:rPr>
        <w:t>，</w:t>
      </w:r>
      <w:r w:rsidRPr="00D90C74">
        <w:rPr>
          <w:rFonts w:ascii="微软雅黑" w:eastAsia="微软雅黑" w:hAnsi="微软雅黑" w:hint="eastAsia"/>
          <w:sz w:val="21"/>
          <w:szCs w:val="21"/>
        </w:rPr>
        <w:t>进行预定以及预约。</w:t>
      </w:r>
    </w:p>
    <w:p w14:paraId="39F15706" w14:textId="68162641" w:rsidR="00653113" w:rsidRPr="00D90C74" w:rsidRDefault="00653113"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正式期11月21日~11月30日：在正式期，通过之前对广告行为有过行动的人群再定向的多次触达进行最大化的唤醒和转化。</w:t>
      </w:r>
    </w:p>
    <w:p w14:paraId="1EE7DDE0" w14:textId="7AE99C04" w:rsidR="004A007C" w:rsidRPr="00D90C74" w:rsidRDefault="00653113" w:rsidP="00061C30">
      <w:pPr>
        <w:spacing w:before="100" w:beforeAutospacing="1" w:after="100" w:afterAutospacing="1"/>
        <w:textAlignment w:val="baseline"/>
        <w:rPr>
          <w:rFonts w:ascii="微软雅黑" w:eastAsia="微软雅黑" w:hAnsi="微软雅黑"/>
          <w:sz w:val="21"/>
          <w:szCs w:val="21"/>
        </w:rPr>
      </w:pPr>
      <w:r w:rsidRPr="00D90C74">
        <w:rPr>
          <w:rFonts w:ascii="微软雅黑" w:eastAsia="微软雅黑" w:hAnsi="微软雅黑" w:hint="eastAsia"/>
          <w:sz w:val="21"/>
          <w:szCs w:val="21"/>
        </w:rPr>
        <w:t>投放素材：</w:t>
      </w:r>
    </w:p>
    <w:p w14:paraId="00C9930E" w14:textId="6DA1DDC0" w:rsidR="000631F9" w:rsidRPr="00D90C74" w:rsidRDefault="00D90C74" w:rsidP="00061C30">
      <w:pPr>
        <w:spacing w:before="100" w:beforeAutospacing="1" w:after="100" w:afterAutospacing="1"/>
        <w:jc w:val="center"/>
        <w:textAlignment w:val="baseline"/>
        <w:rPr>
          <w:rFonts w:ascii="微软雅黑" w:eastAsia="微软雅黑" w:hAnsi="微软雅黑" w:hint="eastAsia"/>
          <w:sz w:val="21"/>
          <w:szCs w:val="21"/>
        </w:rPr>
      </w:pPr>
      <w:r w:rsidRPr="00D90C74">
        <w:rPr>
          <w:rFonts w:ascii="微软雅黑" w:eastAsia="微软雅黑" w:hAnsi="微软雅黑"/>
          <w:sz w:val="21"/>
          <w:szCs w:val="21"/>
        </w:rPr>
        <w:drawing>
          <wp:inline distT="0" distB="0" distL="0" distR="0" wp14:anchorId="713A433C" wp14:editId="2A071AF4">
            <wp:extent cx="5069079" cy="390295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0884" cy="3904343"/>
                    </a:xfrm>
                    <a:prstGeom prst="rect">
                      <a:avLst/>
                    </a:prstGeom>
                  </pic:spPr>
                </pic:pic>
              </a:graphicData>
            </a:graphic>
          </wp:inline>
        </w:drawing>
      </w:r>
    </w:p>
    <w:p w14:paraId="501B2660" w14:textId="77777777" w:rsidR="00E40EE7" w:rsidRPr="00D90C74" w:rsidRDefault="000631F9" w:rsidP="00061C30">
      <w:pPr>
        <w:spacing w:before="100" w:beforeAutospacing="1" w:after="100" w:afterAutospacing="1"/>
        <w:textAlignment w:val="baseline"/>
        <w:rPr>
          <w:rFonts w:ascii="微软雅黑" w:eastAsia="微软雅黑" w:hAnsi="微软雅黑"/>
          <w:b/>
          <w:color w:val="0000FF"/>
          <w:sz w:val="28"/>
          <w:szCs w:val="28"/>
        </w:rPr>
      </w:pPr>
      <w:r w:rsidRPr="00D90C74">
        <w:rPr>
          <w:rFonts w:ascii="微软雅黑" w:eastAsia="微软雅黑" w:hAnsi="微软雅黑" w:hint="eastAsia"/>
          <w:b/>
          <w:color w:val="0000FF"/>
          <w:sz w:val="28"/>
          <w:szCs w:val="28"/>
        </w:rPr>
        <w:t>营销效果与市场反馈</w:t>
      </w:r>
    </w:p>
    <w:p w14:paraId="24717A02" w14:textId="232380AB" w:rsidR="00E52894" w:rsidRPr="00D90C74" w:rsidRDefault="00E52894" w:rsidP="00061C30">
      <w:pPr>
        <w:spacing w:before="100" w:beforeAutospacing="1" w:after="100" w:afterAutospacing="1"/>
        <w:rPr>
          <w:rFonts w:ascii="微软雅黑" w:eastAsia="微软雅黑" w:hAnsi="微软雅黑"/>
          <w:sz w:val="21"/>
          <w:szCs w:val="21"/>
        </w:rPr>
      </w:pPr>
      <w:r w:rsidRPr="00D90C74">
        <w:rPr>
          <w:rFonts w:ascii="微软雅黑" w:eastAsia="微软雅黑" w:hAnsi="微软雅黑" w:hint="eastAsia"/>
          <w:sz w:val="21"/>
          <w:szCs w:val="21"/>
        </w:rPr>
        <w:t>1.</w:t>
      </w:r>
      <w:r w:rsidR="00D90C74">
        <w:rPr>
          <w:rFonts w:ascii="微软雅黑" w:eastAsia="微软雅黑" w:hAnsi="微软雅黑"/>
          <w:sz w:val="21"/>
          <w:szCs w:val="21"/>
        </w:rPr>
        <w:t xml:space="preserve"> </w:t>
      </w:r>
      <w:r w:rsidR="00447F30" w:rsidRPr="00D90C74">
        <w:rPr>
          <w:rFonts w:ascii="微软雅黑" w:eastAsia="微软雅黑" w:hAnsi="微软雅黑" w:hint="eastAsia"/>
          <w:sz w:val="21"/>
          <w:szCs w:val="21"/>
        </w:rPr>
        <w:t>通过新的人群圈选，加上对触达渠道针对人群的单独优化和不同文案的触达，</w:t>
      </w:r>
      <w:r w:rsidRPr="00D90C74">
        <w:rPr>
          <w:rFonts w:ascii="微软雅黑" w:eastAsia="微软雅黑" w:hAnsi="微软雅黑" w:hint="eastAsia"/>
          <w:sz w:val="21"/>
          <w:szCs w:val="21"/>
        </w:rPr>
        <w:t>最终在与科学家合作共建人群上，人群的点击率达到16.9%，超出行业平均</w:t>
      </w:r>
      <w:r w:rsidR="001B7D6D" w:rsidRPr="00D90C74">
        <w:rPr>
          <w:rFonts w:ascii="微软雅黑" w:eastAsia="微软雅黑" w:hAnsi="微软雅黑" w:hint="eastAsia"/>
          <w:sz w:val="21"/>
          <w:szCs w:val="21"/>
        </w:rPr>
        <w:t>值</w:t>
      </w:r>
      <w:r w:rsidRPr="00D90C74">
        <w:rPr>
          <w:rFonts w:ascii="微软雅黑" w:eastAsia="微软雅黑" w:hAnsi="微软雅黑" w:hint="eastAsia"/>
          <w:sz w:val="21"/>
          <w:szCs w:val="21"/>
        </w:rPr>
        <w:t>290%</w:t>
      </w:r>
      <w:r w:rsidR="00447F30" w:rsidRPr="00D90C74">
        <w:rPr>
          <w:rFonts w:ascii="微软雅黑" w:eastAsia="微软雅黑" w:hAnsi="微软雅黑" w:hint="eastAsia"/>
          <w:sz w:val="21"/>
          <w:szCs w:val="21"/>
        </w:rPr>
        <w:t>。</w:t>
      </w:r>
    </w:p>
    <w:p w14:paraId="4A9A2CA9" w14:textId="06D5AE57" w:rsidR="00447F30" w:rsidRPr="00D90C74" w:rsidRDefault="00E52894" w:rsidP="00061C30">
      <w:pPr>
        <w:spacing w:before="100" w:beforeAutospacing="1" w:after="100" w:afterAutospacing="1"/>
        <w:rPr>
          <w:rFonts w:ascii="微软雅黑" w:eastAsia="微软雅黑" w:hAnsi="微软雅黑" w:hint="eastAsia"/>
          <w:sz w:val="21"/>
          <w:szCs w:val="21"/>
        </w:rPr>
      </w:pPr>
      <w:r w:rsidRPr="00D90C74">
        <w:rPr>
          <w:rFonts w:ascii="微软雅黑" w:eastAsia="微软雅黑" w:hAnsi="微软雅黑" w:hint="eastAsia"/>
          <w:sz w:val="21"/>
          <w:szCs w:val="21"/>
        </w:rPr>
        <w:t>2.</w:t>
      </w:r>
      <w:r w:rsidR="00D90C74">
        <w:rPr>
          <w:rFonts w:ascii="微软雅黑" w:eastAsia="微软雅黑" w:hAnsi="微软雅黑"/>
          <w:sz w:val="21"/>
          <w:szCs w:val="21"/>
        </w:rPr>
        <w:t xml:space="preserve"> </w:t>
      </w:r>
      <w:r w:rsidRPr="00D90C74">
        <w:rPr>
          <w:rFonts w:ascii="微软雅黑" w:eastAsia="微软雅黑" w:hAnsi="微软雅黑" w:hint="eastAsia"/>
          <w:sz w:val="21"/>
          <w:szCs w:val="21"/>
        </w:rPr>
        <w:t>在与</w:t>
      </w:r>
      <w:r w:rsidR="00E03BB8" w:rsidRPr="00D90C74">
        <w:rPr>
          <w:rFonts w:ascii="微软雅黑" w:eastAsia="微软雅黑" w:hAnsi="微软雅黑" w:hint="eastAsia"/>
          <w:sz w:val="21"/>
          <w:szCs w:val="21"/>
        </w:rPr>
        <w:t>京东</w:t>
      </w:r>
      <w:r w:rsidRPr="00D90C74">
        <w:rPr>
          <w:rFonts w:ascii="微软雅黑" w:eastAsia="微软雅黑" w:hAnsi="微软雅黑" w:hint="eastAsia"/>
          <w:sz w:val="21"/>
          <w:szCs w:val="21"/>
        </w:rPr>
        <w:t>平台共建</w:t>
      </w:r>
      <w:r w:rsidR="00447F30" w:rsidRPr="00D90C74">
        <w:rPr>
          <w:rFonts w:ascii="微软雅黑" w:eastAsia="微软雅黑" w:hAnsi="微软雅黑" w:hint="eastAsia"/>
          <w:sz w:val="21"/>
          <w:szCs w:val="21"/>
        </w:rPr>
        <w:t>人群上，通过优先高曝光，展示效率更高的展位和购物触点投放，后链路通过搜索广告收割，最终实</w:t>
      </w:r>
      <w:r w:rsidRPr="00D90C74">
        <w:rPr>
          <w:rFonts w:ascii="微软雅黑" w:eastAsia="微软雅黑" w:hAnsi="微软雅黑" w:hint="eastAsia"/>
          <w:sz w:val="21"/>
          <w:szCs w:val="21"/>
        </w:rPr>
        <w:t>时预测人群包上</w:t>
      </w:r>
      <w:r w:rsidRPr="00D90C74">
        <w:rPr>
          <w:rFonts w:ascii="微软雅黑" w:eastAsia="微软雅黑" w:hAnsi="微软雅黑"/>
          <w:sz w:val="21"/>
          <w:szCs w:val="21"/>
        </w:rPr>
        <w:t>ROI</w:t>
      </w:r>
      <w:r w:rsidRPr="00D90C74">
        <w:rPr>
          <w:rFonts w:ascii="微软雅黑" w:eastAsia="微软雅黑" w:hAnsi="微软雅黑" w:hint="eastAsia"/>
          <w:sz w:val="21"/>
          <w:szCs w:val="21"/>
        </w:rPr>
        <w:t>到达117，超出行业平均</w:t>
      </w:r>
      <w:r w:rsidR="001B7D6D" w:rsidRPr="00D90C74">
        <w:rPr>
          <w:rFonts w:ascii="微软雅黑" w:eastAsia="微软雅黑" w:hAnsi="微软雅黑" w:hint="eastAsia"/>
          <w:sz w:val="21"/>
          <w:szCs w:val="21"/>
        </w:rPr>
        <w:t>值</w:t>
      </w:r>
      <w:r w:rsidRPr="00D90C74">
        <w:rPr>
          <w:rFonts w:ascii="微软雅黑" w:eastAsia="微软雅黑" w:hAnsi="微软雅黑" w:hint="eastAsia"/>
          <w:sz w:val="21"/>
          <w:szCs w:val="21"/>
        </w:rPr>
        <w:t>191%</w:t>
      </w:r>
      <w:r w:rsidR="00D90C74">
        <w:rPr>
          <w:rFonts w:ascii="微软雅黑" w:eastAsia="微软雅黑" w:hAnsi="微软雅黑" w:hint="eastAsia"/>
          <w:sz w:val="21"/>
          <w:szCs w:val="21"/>
        </w:rPr>
        <w:t>。</w:t>
      </w:r>
    </w:p>
    <w:p w14:paraId="43FE08BE" w14:textId="147E4142" w:rsidR="00FB7C79" w:rsidRPr="00D90C74" w:rsidRDefault="00FB7C79" w:rsidP="00061C30">
      <w:pPr>
        <w:spacing w:before="100" w:beforeAutospacing="1" w:after="100" w:afterAutospacing="1"/>
        <w:rPr>
          <w:rFonts w:ascii="微软雅黑" w:eastAsia="微软雅黑" w:hAnsi="微软雅黑"/>
          <w:sz w:val="21"/>
          <w:szCs w:val="21"/>
        </w:rPr>
      </w:pPr>
      <w:r w:rsidRPr="00D90C74">
        <w:rPr>
          <w:rFonts w:ascii="微软雅黑" w:eastAsia="微软雅黑" w:hAnsi="微软雅黑" w:hint="eastAsia"/>
          <w:sz w:val="21"/>
          <w:szCs w:val="21"/>
        </w:rPr>
        <w:lastRenderedPageBreak/>
        <w:t>数据表现：</w:t>
      </w:r>
    </w:p>
    <w:p w14:paraId="4CF7D306" w14:textId="4E8DE54B" w:rsidR="0046328E" w:rsidRPr="00D90C74" w:rsidRDefault="00CF6DE8" w:rsidP="00061C30">
      <w:pPr>
        <w:spacing w:before="100" w:beforeAutospacing="1" w:after="100" w:afterAutospacing="1"/>
        <w:rPr>
          <w:rFonts w:ascii="微软雅黑" w:eastAsia="微软雅黑" w:hAnsi="微软雅黑" w:hint="eastAsia"/>
          <w:color w:val="FF0000"/>
          <w:sz w:val="21"/>
          <w:szCs w:val="21"/>
        </w:rPr>
      </w:pPr>
      <w:r w:rsidRPr="00D90C74">
        <w:rPr>
          <w:noProof/>
          <w:sz w:val="21"/>
          <w:szCs w:val="21"/>
        </w:rPr>
        <w:drawing>
          <wp:inline distT="0" distB="0" distL="0" distR="0" wp14:anchorId="2FDF9BDF" wp14:editId="476C44FE">
            <wp:extent cx="5720715" cy="3139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139440"/>
                    </a:xfrm>
                    <a:prstGeom prst="rect">
                      <a:avLst/>
                    </a:prstGeom>
                  </pic:spPr>
                </pic:pic>
              </a:graphicData>
            </a:graphic>
          </wp:inline>
        </w:drawing>
      </w:r>
    </w:p>
    <w:sectPr w:rsidR="0046328E" w:rsidRPr="00D90C74" w:rsidSect="00970C56">
      <w:headerReference w:type="even" r:id="rId10"/>
      <w:headerReference w:type="default" r:id="rId11"/>
      <w:footerReference w:type="even" r:id="rId12"/>
      <w:footerReference w:type="default" r:id="rId13"/>
      <w:headerReference w:type="first" r:id="rId14"/>
      <w:footerReference w:type="first" r:id="rId1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0FF47" w14:textId="77777777" w:rsidR="00F10C21" w:rsidRDefault="00F10C21">
      <w:r>
        <w:separator/>
      </w:r>
    </w:p>
  </w:endnote>
  <w:endnote w:type="continuationSeparator" w:id="0">
    <w:p w14:paraId="5BDAC2D0" w14:textId="77777777" w:rsidR="00F10C21" w:rsidRDefault="00F1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81D9" w14:textId="77777777" w:rsidR="00D90C74" w:rsidRDefault="00D90C7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CD2F1" w14:textId="77777777" w:rsidR="00F10C21" w:rsidRDefault="00F10C21">
      <w:r>
        <w:separator/>
      </w:r>
    </w:p>
  </w:footnote>
  <w:footnote w:type="continuationSeparator" w:id="0">
    <w:p w14:paraId="534BFB3E" w14:textId="77777777" w:rsidR="00F10C21" w:rsidRDefault="00F1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FF4A" w14:textId="77777777" w:rsidR="00D90C74" w:rsidRDefault="00D90C7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3"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C21A4" w14:textId="77777777" w:rsidR="00D90C74" w:rsidRDefault="00D90C7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1F1998"/>
    <w:multiLevelType w:val="hybridMultilevel"/>
    <w:tmpl w:val="A308F756"/>
    <w:lvl w:ilvl="0" w:tplc="514417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3560D03"/>
    <w:multiLevelType w:val="hybridMultilevel"/>
    <w:tmpl w:val="A5124CF0"/>
    <w:lvl w:ilvl="0" w:tplc="0F8CCDA6">
      <w:start w:val="1"/>
      <w:numFmt w:val="bullet"/>
      <w:lvlText w:val=""/>
      <w:lvlJc w:val="left"/>
      <w:pPr>
        <w:tabs>
          <w:tab w:val="num" w:pos="720"/>
        </w:tabs>
        <w:ind w:left="720" w:hanging="360"/>
      </w:pPr>
      <w:rPr>
        <w:rFonts w:ascii="Wingdings" w:hAnsi="Wingdings" w:hint="default"/>
      </w:rPr>
    </w:lvl>
    <w:lvl w:ilvl="1" w:tplc="E97A7D9C" w:tentative="1">
      <w:start w:val="1"/>
      <w:numFmt w:val="bullet"/>
      <w:lvlText w:val=""/>
      <w:lvlJc w:val="left"/>
      <w:pPr>
        <w:tabs>
          <w:tab w:val="num" w:pos="1440"/>
        </w:tabs>
        <w:ind w:left="1440" w:hanging="360"/>
      </w:pPr>
      <w:rPr>
        <w:rFonts w:ascii="Wingdings" w:hAnsi="Wingdings" w:hint="default"/>
      </w:rPr>
    </w:lvl>
    <w:lvl w:ilvl="2" w:tplc="362A58DE" w:tentative="1">
      <w:start w:val="1"/>
      <w:numFmt w:val="bullet"/>
      <w:lvlText w:val=""/>
      <w:lvlJc w:val="left"/>
      <w:pPr>
        <w:tabs>
          <w:tab w:val="num" w:pos="2160"/>
        </w:tabs>
        <w:ind w:left="2160" w:hanging="360"/>
      </w:pPr>
      <w:rPr>
        <w:rFonts w:ascii="Wingdings" w:hAnsi="Wingdings" w:hint="default"/>
      </w:rPr>
    </w:lvl>
    <w:lvl w:ilvl="3" w:tplc="A7AA9416" w:tentative="1">
      <w:start w:val="1"/>
      <w:numFmt w:val="bullet"/>
      <w:lvlText w:val=""/>
      <w:lvlJc w:val="left"/>
      <w:pPr>
        <w:tabs>
          <w:tab w:val="num" w:pos="2880"/>
        </w:tabs>
        <w:ind w:left="2880" w:hanging="360"/>
      </w:pPr>
      <w:rPr>
        <w:rFonts w:ascii="Wingdings" w:hAnsi="Wingdings" w:hint="default"/>
      </w:rPr>
    </w:lvl>
    <w:lvl w:ilvl="4" w:tplc="78AA7C5E" w:tentative="1">
      <w:start w:val="1"/>
      <w:numFmt w:val="bullet"/>
      <w:lvlText w:val=""/>
      <w:lvlJc w:val="left"/>
      <w:pPr>
        <w:tabs>
          <w:tab w:val="num" w:pos="3600"/>
        </w:tabs>
        <w:ind w:left="3600" w:hanging="360"/>
      </w:pPr>
      <w:rPr>
        <w:rFonts w:ascii="Wingdings" w:hAnsi="Wingdings" w:hint="default"/>
      </w:rPr>
    </w:lvl>
    <w:lvl w:ilvl="5" w:tplc="BD0CE946" w:tentative="1">
      <w:start w:val="1"/>
      <w:numFmt w:val="bullet"/>
      <w:lvlText w:val=""/>
      <w:lvlJc w:val="left"/>
      <w:pPr>
        <w:tabs>
          <w:tab w:val="num" w:pos="4320"/>
        </w:tabs>
        <w:ind w:left="4320" w:hanging="360"/>
      </w:pPr>
      <w:rPr>
        <w:rFonts w:ascii="Wingdings" w:hAnsi="Wingdings" w:hint="default"/>
      </w:rPr>
    </w:lvl>
    <w:lvl w:ilvl="6" w:tplc="C6487036" w:tentative="1">
      <w:start w:val="1"/>
      <w:numFmt w:val="bullet"/>
      <w:lvlText w:val=""/>
      <w:lvlJc w:val="left"/>
      <w:pPr>
        <w:tabs>
          <w:tab w:val="num" w:pos="5040"/>
        </w:tabs>
        <w:ind w:left="5040" w:hanging="360"/>
      </w:pPr>
      <w:rPr>
        <w:rFonts w:ascii="Wingdings" w:hAnsi="Wingdings" w:hint="default"/>
      </w:rPr>
    </w:lvl>
    <w:lvl w:ilvl="7" w:tplc="302A1966" w:tentative="1">
      <w:start w:val="1"/>
      <w:numFmt w:val="bullet"/>
      <w:lvlText w:val=""/>
      <w:lvlJc w:val="left"/>
      <w:pPr>
        <w:tabs>
          <w:tab w:val="num" w:pos="5760"/>
        </w:tabs>
        <w:ind w:left="5760" w:hanging="360"/>
      </w:pPr>
      <w:rPr>
        <w:rFonts w:ascii="Wingdings" w:hAnsi="Wingdings" w:hint="default"/>
      </w:rPr>
    </w:lvl>
    <w:lvl w:ilvl="8" w:tplc="D43CA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85F3767"/>
    <w:multiLevelType w:val="hybridMultilevel"/>
    <w:tmpl w:val="DC1A60C0"/>
    <w:lvl w:ilvl="0" w:tplc="FC04E974">
      <w:start w:val="1"/>
      <w:numFmt w:val="lowerLetter"/>
      <w:lvlText w:val="%1．"/>
      <w:lvlJc w:val="left"/>
      <w:pPr>
        <w:ind w:left="360" w:hanging="360"/>
      </w:pPr>
      <w:rPr>
        <w:rFonts w:asciiTheme="minorHAnsi" w:eastAsiaTheme="minorEastAsia" w:hAnsiTheme="minorHAnsi" w:cstheme="minorBidi"/>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BC0861"/>
    <w:multiLevelType w:val="hybridMultilevel"/>
    <w:tmpl w:val="37B8E758"/>
    <w:lvl w:ilvl="0" w:tplc="FC04E974">
      <w:start w:val="1"/>
      <w:numFmt w:val="lowerLetter"/>
      <w:lvlText w:val="%1．"/>
      <w:lvlJc w:val="left"/>
      <w:pPr>
        <w:ind w:left="420" w:hanging="420"/>
      </w:pPr>
      <w:rPr>
        <w:rFonts w:asciiTheme="minorHAnsi" w:eastAsiaTheme="minorEastAsia" w:hAnsiTheme="minorHAnsi" w:cstheme="minorBidi"/>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5813A1B"/>
    <w:multiLevelType w:val="hybridMultilevel"/>
    <w:tmpl w:val="A86A797A"/>
    <w:lvl w:ilvl="0" w:tplc="FC04E974">
      <w:start w:val="1"/>
      <w:numFmt w:val="lowerLetter"/>
      <w:lvlText w:val="%1．"/>
      <w:lvlJc w:val="left"/>
      <w:pPr>
        <w:ind w:left="420" w:hanging="420"/>
      </w:pPr>
      <w:rPr>
        <w:rFonts w:asciiTheme="minorHAnsi" w:eastAsiaTheme="minorEastAsia" w:hAnsiTheme="minorHAnsi" w:cstheme="minorBidi"/>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FE12428"/>
    <w:multiLevelType w:val="hybridMultilevel"/>
    <w:tmpl w:val="A37445FC"/>
    <w:lvl w:ilvl="0" w:tplc="5144171A">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1"/>
  </w:num>
  <w:num w:numId="4">
    <w:abstractNumId w:val="3"/>
  </w:num>
  <w:num w:numId="5">
    <w:abstractNumId w:val="0"/>
  </w:num>
  <w:num w:numId="6">
    <w:abstractNumId w:val="18"/>
  </w:num>
  <w:num w:numId="7">
    <w:abstractNumId w:val="15"/>
  </w:num>
  <w:num w:numId="8">
    <w:abstractNumId w:val="11"/>
  </w:num>
  <w:num w:numId="9">
    <w:abstractNumId w:val="10"/>
  </w:num>
  <w:num w:numId="10">
    <w:abstractNumId w:val="9"/>
  </w:num>
  <w:num w:numId="11">
    <w:abstractNumId w:val="13"/>
  </w:num>
  <w:num w:numId="12">
    <w:abstractNumId w:val="16"/>
  </w:num>
  <w:num w:numId="13">
    <w:abstractNumId w:val="4"/>
  </w:num>
  <w:num w:numId="14">
    <w:abstractNumId w:val="14"/>
  </w:num>
  <w:num w:numId="15">
    <w:abstractNumId w:val="6"/>
  </w:num>
  <w:num w:numId="16">
    <w:abstractNumId w:val="8"/>
  </w:num>
  <w:num w:numId="17">
    <w:abstractNumId w:val="12"/>
  </w:num>
  <w:num w:numId="18">
    <w:abstractNumId w:val="17"/>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262BB"/>
    <w:rsid w:val="00046CF7"/>
    <w:rsid w:val="000532E1"/>
    <w:rsid w:val="00056E4C"/>
    <w:rsid w:val="0006079A"/>
    <w:rsid w:val="00061C30"/>
    <w:rsid w:val="000631F9"/>
    <w:rsid w:val="00071CE5"/>
    <w:rsid w:val="000724F0"/>
    <w:rsid w:val="0007509B"/>
    <w:rsid w:val="00077EC5"/>
    <w:rsid w:val="000910D9"/>
    <w:rsid w:val="000915E6"/>
    <w:rsid w:val="00097129"/>
    <w:rsid w:val="000979A5"/>
    <w:rsid w:val="000A3EB7"/>
    <w:rsid w:val="000B2399"/>
    <w:rsid w:val="000B79D6"/>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62AC4"/>
    <w:rsid w:val="00172A27"/>
    <w:rsid w:val="001731D8"/>
    <w:rsid w:val="00173E91"/>
    <w:rsid w:val="00176817"/>
    <w:rsid w:val="00181C7B"/>
    <w:rsid w:val="00184006"/>
    <w:rsid w:val="00192A5B"/>
    <w:rsid w:val="00194762"/>
    <w:rsid w:val="00195220"/>
    <w:rsid w:val="001954B4"/>
    <w:rsid w:val="0019737F"/>
    <w:rsid w:val="001A500D"/>
    <w:rsid w:val="001B7D6D"/>
    <w:rsid w:val="001C4334"/>
    <w:rsid w:val="001D11F3"/>
    <w:rsid w:val="001D2E2D"/>
    <w:rsid w:val="001E12DA"/>
    <w:rsid w:val="001E38F1"/>
    <w:rsid w:val="001E6133"/>
    <w:rsid w:val="001F17F1"/>
    <w:rsid w:val="001F36FC"/>
    <w:rsid w:val="001F4270"/>
    <w:rsid w:val="001F70B4"/>
    <w:rsid w:val="0020719F"/>
    <w:rsid w:val="0021683A"/>
    <w:rsid w:val="002208F6"/>
    <w:rsid w:val="0022117C"/>
    <w:rsid w:val="0023746F"/>
    <w:rsid w:val="002405B6"/>
    <w:rsid w:val="00241D88"/>
    <w:rsid w:val="00250580"/>
    <w:rsid w:val="00252186"/>
    <w:rsid w:val="00255B1F"/>
    <w:rsid w:val="00262A77"/>
    <w:rsid w:val="002707E7"/>
    <w:rsid w:val="00270EF0"/>
    <w:rsid w:val="002712AF"/>
    <w:rsid w:val="00273D0A"/>
    <w:rsid w:val="00274D6B"/>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0952"/>
    <w:rsid w:val="003548BE"/>
    <w:rsid w:val="00361FEC"/>
    <w:rsid w:val="00362043"/>
    <w:rsid w:val="00365FAB"/>
    <w:rsid w:val="00371D9E"/>
    <w:rsid w:val="00371F8B"/>
    <w:rsid w:val="00386E93"/>
    <w:rsid w:val="0038758A"/>
    <w:rsid w:val="003A2FD7"/>
    <w:rsid w:val="003A3097"/>
    <w:rsid w:val="003A3802"/>
    <w:rsid w:val="003B26FF"/>
    <w:rsid w:val="003B69CD"/>
    <w:rsid w:val="003B7277"/>
    <w:rsid w:val="003C78A2"/>
    <w:rsid w:val="003E01FE"/>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7F30"/>
    <w:rsid w:val="00451221"/>
    <w:rsid w:val="00453929"/>
    <w:rsid w:val="004555F7"/>
    <w:rsid w:val="00462CFD"/>
    <w:rsid w:val="0046328E"/>
    <w:rsid w:val="00464EA7"/>
    <w:rsid w:val="004651A5"/>
    <w:rsid w:val="004767D7"/>
    <w:rsid w:val="0048060F"/>
    <w:rsid w:val="0048122B"/>
    <w:rsid w:val="00484916"/>
    <w:rsid w:val="004861A7"/>
    <w:rsid w:val="0048758B"/>
    <w:rsid w:val="00491A67"/>
    <w:rsid w:val="00492C50"/>
    <w:rsid w:val="004A007C"/>
    <w:rsid w:val="004A4904"/>
    <w:rsid w:val="004C539E"/>
    <w:rsid w:val="004C5E7C"/>
    <w:rsid w:val="004D3EF9"/>
    <w:rsid w:val="004D53A9"/>
    <w:rsid w:val="004E28E5"/>
    <w:rsid w:val="004E459E"/>
    <w:rsid w:val="004E64FF"/>
    <w:rsid w:val="004E704D"/>
    <w:rsid w:val="004F1399"/>
    <w:rsid w:val="004F7523"/>
    <w:rsid w:val="005002D8"/>
    <w:rsid w:val="00506B17"/>
    <w:rsid w:val="00507EB8"/>
    <w:rsid w:val="0052080E"/>
    <w:rsid w:val="005329B0"/>
    <w:rsid w:val="005344CB"/>
    <w:rsid w:val="00535A1F"/>
    <w:rsid w:val="005479C8"/>
    <w:rsid w:val="00547E1C"/>
    <w:rsid w:val="005504E6"/>
    <w:rsid w:val="0055479D"/>
    <w:rsid w:val="00567477"/>
    <w:rsid w:val="0057565D"/>
    <w:rsid w:val="005764AD"/>
    <w:rsid w:val="0058033D"/>
    <w:rsid w:val="00582F7D"/>
    <w:rsid w:val="005A2EEC"/>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3113"/>
    <w:rsid w:val="0065606B"/>
    <w:rsid w:val="0065759C"/>
    <w:rsid w:val="00661A8D"/>
    <w:rsid w:val="006707FE"/>
    <w:rsid w:val="0067611E"/>
    <w:rsid w:val="006853C8"/>
    <w:rsid w:val="00693C3F"/>
    <w:rsid w:val="006955F5"/>
    <w:rsid w:val="006A02B0"/>
    <w:rsid w:val="006A24F1"/>
    <w:rsid w:val="006B5BB6"/>
    <w:rsid w:val="006C16A7"/>
    <w:rsid w:val="006C1733"/>
    <w:rsid w:val="006D2064"/>
    <w:rsid w:val="006D4934"/>
    <w:rsid w:val="006D5766"/>
    <w:rsid w:val="006F421E"/>
    <w:rsid w:val="006F662D"/>
    <w:rsid w:val="007040B0"/>
    <w:rsid w:val="0070639A"/>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E45FF"/>
    <w:rsid w:val="007E51D0"/>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2500"/>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12DD"/>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14CE3"/>
    <w:rsid w:val="00B1539D"/>
    <w:rsid w:val="00B24DCC"/>
    <w:rsid w:val="00B25274"/>
    <w:rsid w:val="00B25350"/>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F6DE8"/>
    <w:rsid w:val="00D13BC3"/>
    <w:rsid w:val="00D14F03"/>
    <w:rsid w:val="00D409BB"/>
    <w:rsid w:val="00D5007A"/>
    <w:rsid w:val="00D5598B"/>
    <w:rsid w:val="00D56BD0"/>
    <w:rsid w:val="00D63679"/>
    <w:rsid w:val="00D6725D"/>
    <w:rsid w:val="00D71A2E"/>
    <w:rsid w:val="00D731FC"/>
    <w:rsid w:val="00D80973"/>
    <w:rsid w:val="00D90C74"/>
    <w:rsid w:val="00DB3708"/>
    <w:rsid w:val="00DB4C4A"/>
    <w:rsid w:val="00DC32E7"/>
    <w:rsid w:val="00DC397E"/>
    <w:rsid w:val="00DC75CF"/>
    <w:rsid w:val="00DD56E4"/>
    <w:rsid w:val="00DE76F1"/>
    <w:rsid w:val="00E004F9"/>
    <w:rsid w:val="00E03BB8"/>
    <w:rsid w:val="00E21168"/>
    <w:rsid w:val="00E23547"/>
    <w:rsid w:val="00E26E63"/>
    <w:rsid w:val="00E336C0"/>
    <w:rsid w:val="00E40EE7"/>
    <w:rsid w:val="00E457D7"/>
    <w:rsid w:val="00E46527"/>
    <w:rsid w:val="00E52687"/>
    <w:rsid w:val="00E52894"/>
    <w:rsid w:val="00E569E4"/>
    <w:rsid w:val="00E5768D"/>
    <w:rsid w:val="00E576F6"/>
    <w:rsid w:val="00E60CF7"/>
    <w:rsid w:val="00E60DF3"/>
    <w:rsid w:val="00E6205B"/>
    <w:rsid w:val="00E745ED"/>
    <w:rsid w:val="00E77E2B"/>
    <w:rsid w:val="00E8120B"/>
    <w:rsid w:val="00E81567"/>
    <w:rsid w:val="00E81E0A"/>
    <w:rsid w:val="00E846BA"/>
    <w:rsid w:val="00E85951"/>
    <w:rsid w:val="00E86C47"/>
    <w:rsid w:val="00E92CC7"/>
    <w:rsid w:val="00E93D45"/>
    <w:rsid w:val="00EA4712"/>
    <w:rsid w:val="00EA652C"/>
    <w:rsid w:val="00EB0731"/>
    <w:rsid w:val="00EB346F"/>
    <w:rsid w:val="00EC320D"/>
    <w:rsid w:val="00EC4DA4"/>
    <w:rsid w:val="00EC6379"/>
    <w:rsid w:val="00ED507C"/>
    <w:rsid w:val="00EE38CD"/>
    <w:rsid w:val="00EE6D2C"/>
    <w:rsid w:val="00EE72D7"/>
    <w:rsid w:val="00EF6F55"/>
    <w:rsid w:val="00F0134F"/>
    <w:rsid w:val="00F10C21"/>
    <w:rsid w:val="00F1375B"/>
    <w:rsid w:val="00F22C99"/>
    <w:rsid w:val="00F35569"/>
    <w:rsid w:val="00F3618F"/>
    <w:rsid w:val="00F4008B"/>
    <w:rsid w:val="00F41E61"/>
    <w:rsid w:val="00F44240"/>
    <w:rsid w:val="00F503C8"/>
    <w:rsid w:val="00F56689"/>
    <w:rsid w:val="00F61776"/>
    <w:rsid w:val="00F72E94"/>
    <w:rsid w:val="00F821BF"/>
    <w:rsid w:val="00F853FB"/>
    <w:rsid w:val="00FA4FF9"/>
    <w:rsid w:val="00FB3C62"/>
    <w:rsid w:val="00FB6FEC"/>
    <w:rsid w:val="00FB7C79"/>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74978617">
      <w:bodyDiv w:val="1"/>
      <w:marLeft w:val="0"/>
      <w:marRight w:val="0"/>
      <w:marTop w:val="0"/>
      <w:marBottom w:val="0"/>
      <w:divBdr>
        <w:top w:val="none" w:sz="0" w:space="0" w:color="auto"/>
        <w:left w:val="none" w:sz="0" w:space="0" w:color="auto"/>
        <w:bottom w:val="none" w:sz="0" w:space="0" w:color="auto"/>
        <w:right w:val="none" w:sz="0" w:space="0" w:color="auto"/>
      </w:divBdr>
      <w:divsChild>
        <w:div w:id="439182838">
          <w:marLeft w:val="446"/>
          <w:marRight w:val="0"/>
          <w:marTop w:val="0"/>
          <w:marBottom w:val="8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29D7D3B-B79F-9A48-8851-76911217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156</Words>
  <Characters>891</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2012-10-11T08:46:00Z</cp:lastPrinted>
  <dcterms:created xsi:type="dcterms:W3CDTF">2021-02-21T09:05:00Z</dcterms:created>
  <dcterms:modified xsi:type="dcterms:W3CDTF">2021-02-21T09:09:00Z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