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22"/>
        <w:shd w:val="clear" w:color="auto" w:fill="FFFFFF"/>
        <w:autoSpaceDN w:val="0"/>
        <w:spacing w:before="240" w:beforeLines="100" w:after="240" w:afterLines="100"/>
        <w:jc w:val="center"/>
        <w:textAlignment w:val="baseline"/>
        <w:rPr>
          <w:rFonts w:ascii="微软雅黑" w:hAnsi="微软雅黑" w:eastAsia="微软雅黑"/>
          <w:b/>
          <w:color w:val="EAB300"/>
          <w:sz w:val="32"/>
          <w:szCs w:val="32"/>
        </w:rPr>
      </w:pPr>
      <w:bookmarkStart w:id="1" w:name="_GoBack"/>
      <w:bookmarkStart w:id="0" w:name="_Hlk62482819"/>
      <w:bookmarkEnd w:id="0"/>
      <w:r>
        <w:rPr>
          <w:rFonts w:hint="eastAsia" w:ascii="微软雅黑" w:hAnsi="微软雅黑" w:eastAsia="微软雅黑"/>
          <w:b/>
          <w:sz w:val="32"/>
          <w:szCs w:val="32"/>
        </w:rPr>
        <w:t>vivo《乐队的夏天2》——硬核开箱，测评一“夏”！</w:t>
      </w:r>
    </w:p>
    <w:bookmarkEnd w:id="1"/>
    <w:p>
      <w:pPr>
        <w:textAlignment w:val="baseline"/>
        <w:rPr>
          <w:rFonts w:ascii="微软雅黑" w:hAnsi="微软雅黑" w:eastAsia="微软雅黑"/>
          <w:b/>
          <w:sz w:val="21"/>
          <w:szCs w:val="21"/>
        </w:rPr>
      </w:pPr>
      <w:r>
        <w:rPr>
          <w:rFonts w:hint="eastAsia" w:ascii="微软雅黑" w:hAnsi="微软雅黑" w:eastAsia="微软雅黑"/>
          <w:b/>
          <w:sz w:val="21"/>
          <w:szCs w:val="21"/>
        </w:rPr>
        <w:t>广 告 主：</w:t>
      </w:r>
      <w:r>
        <w:rPr>
          <w:rFonts w:hint="eastAsia" w:ascii="微软雅黑" w:hAnsi="微软雅黑" w:eastAsia="微软雅黑"/>
          <w:sz w:val="21"/>
          <w:szCs w:val="21"/>
        </w:rPr>
        <w:t>v</w:t>
      </w:r>
      <w:r>
        <w:rPr>
          <w:rFonts w:ascii="微软雅黑" w:hAnsi="微软雅黑" w:eastAsia="微软雅黑"/>
          <w:sz w:val="21"/>
          <w:szCs w:val="21"/>
        </w:rPr>
        <w:t>ivo</w:t>
      </w:r>
    </w:p>
    <w:p>
      <w:pPr>
        <w:textAlignment w:val="baseline"/>
        <w:rPr>
          <w:rFonts w:ascii="微软雅黑" w:hAnsi="微软雅黑" w:eastAsia="微软雅黑"/>
          <w:sz w:val="21"/>
          <w:szCs w:val="21"/>
        </w:rPr>
      </w:pPr>
      <w:r>
        <w:rPr>
          <w:rFonts w:hint="eastAsia" w:ascii="微软雅黑" w:hAnsi="微软雅黑" w:eastAsia="微软雅黑"/>
          <w:b/>
          <w:sz w:val="21"/>
          <w:szCs w:val="21"/>
        </w:rPr>
        <w:t>所属行业：</w:t>
      </w:r>
      <w:r>
        <w:rPr>
          <w:rFonts w:hint="eastAsia" w:ascii="微软雅黑" w:hAnsi="微软雅黑" w:eastAsia="微软雅黑"/>
          <w:sz w:val="21"/>
          <w:szCs w:val="21"/>
        </w:rPr>
        <w:t>3</w:t>
      </w:r>
      <w:r>
        <w:rPr>
          <w:rFonts w:ascii="微软雅黑" w:hAnsi="微软雅黑" w:eastAsia="微软雅黑"/>
          <w:sz w:val="21"/>
          <w:szCs w:val="21"/>
        </w:rPr>
        <w:t>C</w:t>
      </w:r>
    </w:p>
    <w:p>
      <w:pPr>
        <w:textAlignment w:val="baseline"/>
        <w:rPr>
          <w:rFonts w:ascii="微软雅黑" w:hAnsi="微软雅黑" w:eastAsia="微软雅黑"/>
          <w:b/>
          <w:sz w:val="21"/>
          <w:szCs w:val="21"/>
        </w:rPr>
      </w:pPr>
      <w:r>
        <w:rPr>
          <w:rFonts w:hint="eastAsia" w:ascii="微软雅黑" w:hAnsi="微软雅黑" w:eastAsia="微软雅黑"/>
          <w:b/>
          <w:sz w:val="21"/>
          <w:szCs w:val="21"/>
        </w:rPr>
        <w:t>执行时间：</w:t>
      </w:r>
      <w:r>
        <w:rPr>
          <w:rFonts w:hint="eastAsia" w:ascii="微软雅黑" w:hAnsi="微软雅黑" w:eastAsia="微软雅黑"/>
          <w:sz w:val="21"/>
          <w:szCs w:val="21"/>
        </w:rPr>
        <w:t>20</w:t>
      </w:r>
      <w:r>
        <w:rPr>
          <w:rFonts w:ascii="微软雅黑" w:hAnsi="微软雅黑" w:eastAsia="微软雅黑"/>
          <w:sz w:val="21"/>
          <w:szCs w:val="21"/>
        </w:rPr>
        <w:t>20</w:t>
      </w:r>
      <w:r>
        <w:rPr>
          <w:rFonts w:hint="eastAsia" w:ascii="微软雅黑" w:hAnsi="微软雅黑" w:eastAsia="微软雅黑"/>
          <w:sz w:val="21"/>
          <w:szCs w:val="21"/>
        </w:rPr>
        <w:t>.0</w:t>
      </w:r>
      <w:r>
        <w:rPr>
          <w:rFonts w:ascii="微软雅黑" w:hAnsi="微软雅黑" w:eastAsia="微软雅黑"/>
          <w:sz w:val="21"/>
          <w:szCs w:val="21"/>
        </w:rPr>
        <w:t>7</w:t>
      </w:r>
      <w:r>
        <w:rPr>
          <w:rFonts w:hint="eastAsia" w:ascii="微软雅黑" w:hAnsi="微软雅黑" w:eastAsia="微软雅黑"/>
          <w:sz w:val="21"/>
          <w:szCs w:val="21"/>
        </w:rPr>
        <w:t>.</w:t>
      </w:r>
      <w:r>
        <w:rPr>
          <w:rFonts w:ascii="微软雅黑" w:hAnsi="微软雅黑" w:eastAsia="微软雅黑"/>
          <w:sz w:val="21"/>
          <w:szCs w:val="21"/>
        </w:rPr>
        <w:t>15</w:t>
      </w:r>
      <w:r>
        <w:rPr>
          <w:rFonts w:hint="eastAsia" w:ascii="微软雅黑" w:hAnsi="微软雅黑" w:eastAsia="微软雅黑"/>
          <w:sz w:val="21"/>
          <w:szCs w:val="21"/>
        </w:rPr>
        <w:t>-1</w:t>
      </w:r>
      <w:r>
        <w:rPr>
          <w:rFonts w:ascii="微软雅黑" w:hAnsi="微软雅黑" w:eastAsia="微软雅黑"/>
          <w:sz w:val="21"/>
          <w:szCs w:val="21"/>
        </w:rPr>
        <w:t>0</w:t>
      </w:r>
      <w:r>
        <w:rPr>
          <w:rFonts w:hint="eastAsia" w:ascii="微软雅黑" w:hAnsi="微软雅黑" w:eastAsia="微软雅黑"/>
          <w:sz w:val="21"/>
          <w:szCs w:val="21"/>
        </w:rPr>
        <w:t>.</w:t>
      </w:r>
      <w:r>
        <w:rPr>
          <w:rFonts w:ascii="微软雅黑" w:hAnsi="微软雅黑" w:eastAsia="微软雅黑"/>
          <w:sz w:val="21"/>
          <w:szCs w:val="21"/>
        </w:rPr>
        <w:t>30</w:t>
      </w:r>
    </w:p>
    <w:p>
      <w:pPr>
        <w:rPr>
          <w:rFonts w:hint="eastAsia" w:ascii="微软雅黑" w:hAnsi="微软雅黑" w:eastAsia="微软雅黑"/>
          <w:bCs/>
          <w:sz w:val="21"/>
          <w:szCs w:val="21"/>
        </w:rPr>
      </w:pPr>
      <w:r>
        <w:rPr>
          <w:rFonts w:hint="eastAsia" w:ascii="微软雅黑" w:hAnsi="微软雅黑" w:eastAsia="微软雅黑"/>
          <w:b/>
          <w:sz w:val="21"/>
          <w:szCs w:val="21"/>
        </w:rPr>
        <w:t>参选类别：</w:t>
      </w:r>
      <w:r>
        <w:rPr>
          <w:rFonts w:hint="eastAsia" w:ascii="微软雅黑" w:hAnsi="微软雅黑" w:eastAsia="微软雅黑"/>
          <w:bCs/>
          <w:sz w:val="21"/>
          <w:szCs w:val="21"/>
        </w:rPr>
        <w:t>视频整合营销类</w:t>
      </w:r>
    </w:p>
    <w:p>
      <w:pPr>
        <w:keepNext w:val="0"/>
        <w:keepLines w:val="0"/>
        <w:pageBreakBefore w:val="0"/>
        <w:kinsoku/>
        <w:wordWrap/>
        <w:overflowPunct/>
        <w:topLinePunct w:val="0"/>
        <w:autoSpaceDE/>
        <w:autoSpaceDN/>
        <w:bidi w:val="0"/>
        <w:adjustRightInd/>
        <w:snapToGrid/>
        <w:spacing w:before="100" w:beforeAutospacing="1" w:after="100" w:afterAutospacing="1"/>
        <w:ind w:firstLine="0"/>
        <w:rPr>
          <w:rFonts w:ascii="微软雅黑" w:hAnsi="微软雅黑" w:eastAsia="微软雅黑"/>
          <w:b/>
          <w:color w:val="0000FF"/>
          <w:sz w:val="28"/>
        </w:rPr>
      </w:pPr>
      <w:r>
        <w:rPr>
          <w:rFonts w:hint="eastAsia" w:ascii="微软雅黑" w:hAnsi="微软雅黑" w:eastAsia="微软雅黑"/>
          <w:b/>
          <w:color w:val="0000FF"/>
          <w:sz w:val="28"/>
        </w:rPr>
        <w:t>营销背景</w:t>
      </w:r>
    </w:p>
    <w:p>
      <w:pPr>
        <w:keepNext w:val="0"/>
        <w:keepLines w:val="0"/>
        <w:pageBreakBefore w:val="0"/>
        <w:kinsoku/>
        <w:wordWrap/>
        <w:overflowPunct/>
        <w:topLinePunct w:val="0"/>
        <w:autoSpaceDE/>
        <w:autoSpaceDN/>
        <w:bidi w:val="0"/>
        <w:adjustRightInd/>
        <w:snapToGrid/>
        <w:spacing w:before="100" w:beforeAutospacing="1" w:after="100" w:afterAutospacing="1"/>
        <w:ind w:firstLine="0"/>
        <w:rPr>
          <w:rFonts w:ascii="微软雅黑" w:hAnsi="微软雅黑" w:eastAsia="微软雅黑"/>
          <w:b/>
        </w:rPr>
      </w:pPr>
      <w:r>
        <w:rPr>
          <w:rFonts w:ascii="微软雅黑" w:hAnsi="微软雅黑" w:eastAsia="微软雅黑"/>
          <w:sz w:val="21"/>
          <w:szCs w:val="21"/>
        </w:rPr>
        <w:t>3C</w:t>
      </w:r>
      <w:r>
        <w:rPr>
          <w:rFonts w:hint="eastAsia" w:ascii="微软雅黑" w:hAnsi="微软雅黑" w:eastAsia="微软雅黑"/>
          <w:sz w:val="21"/>
          <w:szCs w:val="21"/>
        </w:rPr>
        <w:t>手机类产品消费者相比一般消耗品快消品消费者有更高产品卖点和功能要求，在娱乐化内容中，产品功能卖点不容易被讲透，受众更关注测评结果，而手机发布会也是每款新机上市最受关注的大事件，如何能让科技化行业事件更好的与娱乐化内容跨界，打造具有看点和话题热度的发布会。让手机开箱测评更符合年轻人喜好，借助I</w:t>
      </w:r>
      <w:r>
        <w:rPr>
          <w:rFonts w:ascii="微软雅黑" w:hAnsi="微软雅黑" w:eastAsia="微软雅黑"/>
          <w:sz w:val="21"/>
          <w:szCs w:val="21"/>
        </w:rPr>
        <w:t>P</w:t>
      </w:r>
      <w:r>
        <w:rPr>
          <w:rFonts w:hint="eastAsia" w:ascii="微软雅黑" w:hAnsi="微软雅黑" w:eastAsia="微软雅黑"/>
          <w:sz w:val="21"/>
          <w:szCs w:val="21"/>
        </w:rPr>
        <w:t>热度成为行业热事件提升新机上市关注与卖点渗透。</w:t>
      </w:r>
    </w:p>
    <w:p>
      <w:pPr>
        <w:keepNext w:val="0"/>
        <w:keepLines w:val="0"/>
        <w:pageBreakBefore w:val="0"/>
        <w:kinsoku/>
        <w:wordWrap/>
        <w:overflowPunct/>
        <w:topLinePunct w:val="0"/>
        <w:autoSpaceDE/>
        <w:autoSpaceDN/>
        <w:bidi w:val="0"/>
        <w:adjustRightInd/>
        <w:snapToGrid/>
        <w:spacing w:before="100" w:beforeAutospacing="1" w:after="100" w:afterAutospacing="1"/>
        <w:ind w:firstLine="0"/>
        <w:textAlignment w:val="baseline"/>
        <w:rPr>
          <w:rFonts w:hint="eastAsia" w:ascii="微软雅黑" w:hAnsi="微软雅黑" w:eastAsia="微软雅黑"/>
          <w:b/>
          <w:color w:val="0000FF"/>
          <w:sz w:val="28"/>
        </w:rPr>
      </w:pPr>
      <w:r>
        <w:rPr>
          <w:rFonts w:hint="eastAsia" w:ascii="微软雅黑" w:hAnsi="微软雅黑" w:eastAsia="微软雅黑"/>
          <w:b/>
          <w:color w:val="0000FF"/>
          <w:sz w:val="28"/>
        </w:rPr>
        <w:t>营销目标</w:t>
      </w:r>
    </w:p>
    <w:p>
      <w:pPr>
        <w:keepNext w:val="0"/>
        <w:keepLines w:val="0"/>
        <w:pageBreakBefore w:val="0"/>
        <w:kinsoku/>
        <w:wordWrap/>
        <w:overflowPunct/>
        <w:topLinePunct w:val="0"/>
        <w:autoSpaceDE/>
        <w:autoSpaceDN/>
        <w:bidi w:val="0"/>
        <w:adjustRightInd/>
        <w:snapToGrid/>
        <w:spacing w:before="100" w:beforeAutospacing="1" w:after="100" w:afterAutospacing="1"/>
        <w:ind w:firstLine="0"/>
        <w:rPr>
          <w:rFonts w:ascii="微软雅黑" w:hAnsi="微软雅黑" w:eastAsia="微软雅黑"/>
        </w:rPr>
      </w:pPr>
      <w:r>
        <w:rPr>
          <w:rFonts w:hint="eastAsia" w:ascii="微软雅黑" w:hAnsi="微软雅黑" w:eastAsia="微软雅黑"/>
          <w:sz w:val="21"/>
          <w:szCs w:val="21"/>
        </w:rPr>
        <w:t>vivo希望能在新机发布节点，与IP联动造势，乘借第一季热度与第二季关注度，更好的提升新机发布声量。并希望在节目合作中有解锁更多乐队圈层新玩法，让产品与乐队生态和受众真正打通，不仅是产品使用记录乐队舞台上的精彩演出，更是与圈层文化有深度融合，借助乐队生态与圈层文化影响力多维度提升机型功能点输出，让观众迅速记住机型卖点。</w:t>
      </w:r>
    </w:p>
    <w:p>
      <w:pPr>
        <w:keepNext w:val="0"/>
        <w:keepLines w:val="0"/>
        <w:pageBreakBefore w:val="0"/>
        <w:kinsoku/>
        <w:wordWrap/>
        <w:overflowPunct/>
        <w:topLinePunct w:val="0"/>
        <w:autoSpaceDE/>
        <w:autoSpaceDN/>
        <w:bidi w:val="0"/>
        <w:adjustRightInd/>
        <w:snapToGrid/>
        <w:spacing w:before="100" w:beforeAutospacing="1" w:after="100" w:afterAutospacing="1"/>
        <w:ind w:firstLine="0"/>
        <w:textAlignment w:val="baseline"/>
        <w:rPr>
          <w:rFonts w:ascii="微软雅黑" w:hAnsi="微软雅黑" w:eastAsia="微软雅黑"/>
          <w:b/>
          <w:color w:val="0000FF"/>
          <w:sz w:val="28"/>
        </w:rPr>
      </w:pPr>
      <w:r>
        <w:rPr>
          <w:rFonts w:hint="eastAsia" w:ascii="微软雅黑" w:hAnsi="微软雅黑" w:eastAsia="微软雅黑"/>
          <w:b/>
          <w:color w:val="0000FF"/>
          <w:sz w:val="28"/>
        </w:rPr>
        <w:t>策略与创意</w:t>
      </w:r>
    </w:p>
    <w:p>
      <w:pPr>
        <w:keepNext w:val="0"/>
        <w:keepLines w:val="0"/>
        <w:pageBreakBefore w:val="0"/>
        <w:kinsoku/>
        <w:wordWrap/>
        <w:overflowPunct/>
        <w:topLinePunct w:val="0"/>
        <w:autoSpaceDE/>
        <w:autoSpaceDN/>
        <w:bidi w:val="0"/>
        <w:adjustRightInd/>
        <w:snapToGrid/>
        <w:spacing w:before="100" w:beforeAutospacing="1" w:after="100" w:afterAutospacing="1"/>
        <w:ind w:firstLine="0"/>
        <w:rPr>
          <w:rFonts w:ascii="微软雅黑" w:hAnsi="微软雅黑" w:eastAsia="微软雅黑"/>
          <w:sz w:val="21"/>
          <w:szCs w:val="21"/>
        </w:rPr>
      </w:pPr>
      <w:r>
        <w:rPr>
          <w:rFonts w:hint="eastAsia" w:ascii="微软雅黑" w:hAnsi="微软雅黑" w:eastAsia="微软雅黑"/>
          <w:sz w:val="21"/>
          <w:szCs w:val="21"/>
        </w:rPr>
        <w:t>3C产品受众和乐迷人群都追求真实直接，硬核不做作的态度。vivo与《乐夏2》打造一次真行业跨界，以乐队的硬核态度融入3C产品测评过程，以vivo微云台技术，硬核记录乐队多面舞台，打通乐队全生态、全赛程的一次硬核开箱测评秀。这一次，vivo不仅是见证者，更是参与者，是乐队生态中的一员。</w:t>
      </w:r>
    </w:p>
    <w:p>
      <w:pPr>
        <w:keepNext w:val="0"/>
        <w:keepLines w:val="0"/>
        <w:pageBreakBefore w:val="0"/>
        <w:kinsoku/>
        <w:wordWrap/>
        <w:overflowPunct/>
        <w:topLinePunct w:val="0"/>
        <w:autoSpaceDE/>
        <w:autoSpaceDN/>
        <w:bidi w:val="0"/>
        <w:adjustRightInd/>
        <w:snapToGrid/>
        <w:spacing w:before="100" w:beforeAutospacing="1" w:after="100" w:afterAutospacing="1"/>
        <w:ind w:firstLine="0"/>
        <w:jc w:val="center"/>
        <w:rPr>
          <w:rFonts w:hint="eastAsia" w:ascii="微软雅黑" w:hAnsi="微软雅黑" w:eastAsia="微软雅黑"/>
          <w:sz w:val="21"/>
          <w:szCs w:val="21"/>
        </w:rPr>
      </w:pPr>
      <w:r>
        <w:drawing>
          <wp:inline distT="0" distB="0" distL="0" distR="0">
            <wp:extent cx="5198110" cy="2693670"/>
            <wp:effectExtent l="0" t="0" r="2540"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198110" cy="269367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ind w:firstLine="0"/>
        <w:rPr>
          <w:rFonts w:ascii="微软雅黑" w:hAnsi="微软雅黑" w:eastAsia="微软雅黑"/>
          <w:bCs/>
          <w:sz w:val="21"/>
          <w:szCs w:val="21"/>
        </w:rPr>
      </w:pPr>
      <w:r>
        <w:rPr>
          <w:rFonts w:hint="eastAsia" w:ascii="微软雅黑" w:hAnsi="微软雅黑" w:eastAsia="微软雅黑"/>
          <w:b/>
          <w:bCs/>
          <w:sz w:val="21"/>
          <w:szCs w:val="21"/>
        </w:rPr>
        <w:t>1、全方位展现-提升话题度：</w:t>
      </w:r>
      <w:r>
        <w:rPr>
          <w:rFonts w:hint="eastAsia" w:ascii="微软雅黑" w:hAnsi="微软雅黑" w:eastAsia="微软雅黑"/>
          <w:bCs/>
          <w:sz w:val="21"/>
          <w:szCs w:val="21"/>
        </w:rPr>
        <w:t>对准观众对乐队生态的好奇深入台前幕后，两大系列卖点植入各取所长，以X50超稳微云台拍摄乐队舞台精彩表演，以S7高清前置记录乐队台下不为人知的一面。</w:t>
      </w:r>
    </w:p>
    <w:p>
      <w:pPr>
        <w:keepNext w:val="0"/>
        <w:keepLines w:val="0"/>
        <w:pageBreakBefore w:val="0"/>
        <w:kinsoku/>
        <w:wordWrap/>
        <w:overflowPunct/>
        <w:topLinePunct w:val="0"/>
        <w:autoSpaceDE/>
        <w:autoSpaceDN/>
        <w:bidi w:val="0"/>
        <w:adjustRightInd/>
        <w:snapToGrid/>
        <w:spacing w:before="100" w:beforeAutospacing="1" w:after="100" w:afterAutospacing="1"/>
        <w:ind w:firstLine="0"/>
        <w:rPr>
          <w:rFonts w:ascii="微软雅黑" w:hAnsi="微软雅黑" w:eastAsia="微软雅黑"/>
          <w:bCs/>
          <w:sz w:val="21"/>
          <w:szCs w:val="21"/>
        </w:rPr>
      </w:pPr>
      <w:r>
        <w:rPr>
          <w:rFonts w:hint="eastAsia" w:ascii="微软雅黑" w:hAnsi="微软雅黑" w:eastAsia="微软雅黑"/>
          <w:b/>
          <w:bCs/>
          <w:sz w:val="21"/>
          <w:szCs w:val="21"/>
        </w:rPr>
        <w:t>2、全生态融入-卖点强展示：</w:t>
      </w:r>
      <w:r>
        <w:rPr>
          <w:rFonts w:hint="eastAsia" w:ascii="微软雅黑" w:hAnsi="微软雅黑" w:eastAsia="微软雅黑"/>
          <w:bCs/>
          <w:sz w:val="21"/>
          <w:szCs w:val="21"/>
        </w:rPr>
        <w:t>打通明星大乐迷、乐队、专业乐迷、大众乐迷等全乐队生态人群，在节目中花式使用、提及、同框等超强展示机型多功能卖点，自然融入圈层文化。</w:t>
      </w:r>
    </w:p>
    <w:p>
      <w:pPr>
        <w:keepNext w:val="0"/>
        <w:keepLines w:val="0"/>
        <w:pageBreakBefore w:val="0"/>
        <w:kinsoku/>
        <w:wordWrap/>
        <w:overflowPunct/>
        <w:topLinePunct w:val="0"/>
        <w:autoSpaceDE/>
        <w:autoSpaceDN/>
        <w:bidi w:val="0"/>
        <w:adjustRightInd/>
        <w:snapToGrid/>
        <w:spacing w:before="100" w:beforeAutospacing="1" w:after="100" w:afterAutospacing="1"/>
        <w:ind w:firstLine="0"/>
        <w:rPr>
          <w:rFonts w:hint="eastAsia" w:ascii="微软雅黑" w:hAnsi="微软雅黑" w:eastAsia="微软雅黑"/>
          <w:bCs/>
          <w:sz w:val="21"/>
          <w:szCs w:val="21"/>
        </w:rPr>
      </w:pPr>
      <w:r>
        <w:rPr>
          <w:rFonts w:hint="eastAsia" w:ascii="微软雅黑" w:hAnsi="微软雅黑" w:eastAsia="微软雅黑"/>
          <w:b/>
          <w:bCs/>
          <w:sz w:val="21"/>
          <w:szCs w:val="21"/>
        </w:rPr>
        <w:t>3、全赛程贯穿-延长热度：</w:t>
      </w:r>
      <w:r>
        <w:rPr>
          <w:rFonts w:hint="eastAsia" w:ascii="微软雅黑" w:hAnsi="微软雅黑" w:eastAsia="微软雅黑"/>
          <w:bCs/>
          <w:sz w:val="21"/>
          <w:szCs w:val="21"/>
        </w:rPr>
        <w:t>开箱LIVE SHOW联合发布会-霹雳喀嚓主题赛- #乐队的夏天hot5诞生夜#vivo final shot全赛程贯穿，呈现一场不间断的乐队夏季开箱测评。</w:t>
      </w:r>
    </w:p>
    <w:p>
      <w:pPr>
        <w:keepNext w:val="0"/>
        <w:keepLines w:val="0"/>
        <w:pageBreakBefore w:val="0"/>
        <w:kinsoku/>
        <w:wordWrap/>
        <w:overflowPunct/>
        <w:topLinePunct w:val="0"/>
        <w:autoSpaceDE/>
        <w:autoSpaceDN/>
        <w:bidi w:val="0"/>
        <w:adjustRightInd/>
        <w:snapToGrid/>
        <w:spacing w:before="100" w:beforeAutospacing="1" w:after="100" w:afterAutospacing="1"/>
        <w:ind w:firstLine="0"/>
        <w:jc w:val="center"/>
        <w:rPr>
          <w:rFonts w:hint="eastAsia" w:ascii="微软雅黑" w:hAnsi="微软雅黑" w:eastAsia="微软雅黑"/>
          <w:bCs/>
          <w:sz w:val="20"/>
          <w:szCs w:val="21"/>
        </w:rPr>
      </w:pPr>
      <w:r>
        <w:drawing>
          <wp:inline distT="0" distB="0" distL="0" distR="0">
            <wp:extent cx="5477510" cy="308483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526802" cy="3112778"/>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ind w:firstLine="0"/>
        <w:textAlignment w:val="baseline"/>
        <w:rPr>
          <w:rFonts w:ascii="微软雅黑" w:hAnsi="微软雅黑" w:eastAsia="微软雅黑"/>
          <w:b/>
          <w:color w:val="0000FF"/>
          <w:sz w:val="28"/>
        </w:rPr>
      </w:pPr>
      <w:r>
        <w:rPr>
          <w:rFonts w:hint="eastAsia" w:ascii="微软雅黑" w:hAnsi="微软雅黑" w:eastAsia="微软雅黑"/>
          <w:b/>
          <w:color w:val="0000FF"/>
          <w:sz w:val="28"/>
        </w:rPr>
        <w:t>执行过程/媒体表现</w:t>
      </w:r>
    </w:p>
    <w:p>
      <w:pPr>
        <w:pStyle w:val="21"/>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sz w:val="22"/>
        </w:rPr>
      </w:pPr>
      <w:r>
        <w:rPr>
          <w:rFonts w:hint="eastAsia" w:ascii="微软雅黑" w:hAnsi="微软雅黑" w:eastAsia="微软雅黑"/>
          <w:b/>
          <w:bCs/>
          <w:szCs w:val="21"/>
          <w:lang w:val="en-US" w:eastAsia="zh-CN"/>
        </w:rPr>
        <w:t>1、</w:t>
      </w:r>
      <w:r>
        <w:rPr>
          <w:rFonts w:hint="eastAsia" w:ascii="微软雅黑" w:hAnsi="微软雅黑" w:eastAsia="微软雅黑"/>
          <w:b/>
          <w:bCs/>
          <w:szCs w:val="21"/>
        </w:rPr>
        <w:t>预热阶段结合乐队演出测评：</w:t>
      </w:r>
      <w:r>
        <w:rPr>
          <w:rFonts w:hint="eastAsia" w:ascii="微软雅黑" w:hAnsi="微软雅黑" w:eastAsia="微软雅黑"/>
          <w:szCs w:val="21"/>
        </w:rPr>
        <w:t>借势全民关注的乐队名单公布热事件，打造X系列开箱live show发布会，公布乐队阵容的同时，发布全新机型，使用X50微云台超稳记录乐夏初舞台</w:t>
      </w:r>
    </w:p>
    <w:p>
      <w:pPr>
        <w:pStyle w:val="21"/>
        <w:keepNext w:val="0"/>
        <w:keepLines w:val="0"/>
        <w:pageBreakBefore w:val="0"/>
        <w:widowControl w:val="0"/>
        <w:kinsoku/>
        <w:wordWrap/>
        <w:overflowPunct/>
        <w:topLinePunct w:val="0"/>
        <w:autoSpaceDE/>
        <w:autoSpaceDN/>
        <w:bidi w:val="0"/>
        <w:adjustRightInd/>
        <w:snapToGrid/>
        <w:spacing w:before="100" w:beforeAutospacing="1" w:after="100" w:afterAutospacing="1"/>
        <w:ind w:left="0" w:firstLine="0" w:firstLineChars="0"/>
        <w:jc w:val="center"/>
        <w:textAlignment w:val="baseline"/>
        <w:rPr>
          <w:rFonts w:hint="eastAsia" w:ascii="微软雅黑" w:hAnsi="微软雅黑" w:eastAsia="微软雅黑"/>
          <w:b/>
        </w:rPr>
      </w:pPr>
      <w:r>
        <w:drawing>
          <wp:inline distT="0" distB="0" distL="0" distR="0">
            <wp:extent cx="4843780" cy="2719070"/>
            <wp:effectExtent l="0" t="0" r="13970" b="508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843780" cy="2719070"/>
                    </a:xfrm>
                    <a:prstGeom prst="rect">
                      <a:avLst/>
                    </a:prstGeom>
                    <a:noFill/>
                    <a:ln>
                      <a:noFill/>
                    </a:ln>
                  </pic:spPr>
                </pic:pic>
              </a:graphicData>
            </a:graphic>
          </wp:inline>
        </w:drawing>
      </w:r>
    </w:p>
    <w:p>
      <w:pPr>
        <w:pStyle w:val="21"/>
        <w:keepNext w:val="0"/>
        <w:keepLines w:val="0"/>
        <w:pageBreakBefore w:val="0"/>
        <w:widowControl w:val="0"/>
        <w:numPr>
          <w:ilvl w:val="0"/>
          <w:numId w:val="0"/>
        </w:numPr>
        <w:kinsoku/>
        <w:wordWrap/>
        <w:overflowPunct/>
        <w:topLinePunct w:val="0"/>
        <w:autoSpaceDE/>
        <w:autoSpaceDN/>
        <w:bidi w:val="0"/>
        <w:adjustRightInd/>
        <w:snapToGrid/>
        <w:spacing w:before="100" w:beforeAutospacing="1" w:after="100" w:afterAutospacing="1"/>
        <w:ind w:left="0" w:leftChars="0"/>
        <w:textAlignment w:val="baseline"/>
        <w:rPr>
          <w:rFonts w:ascii="微软雅黑" w:hAnsi="微软雅黑" w:eastAsia="微软雅黑"/>
          <w:b/>
          <w:sz w:val="22"/>
        </w:rPr>
      </w:pPr>
      <w:r>
        <w:rPr>
          <w:rFonts w:hint="eastAsia" w:ascii="微软雅黑" w:hAnsi="微软雅黑" w:eastAsia="微软雅黑"/>
          <w:b/>
          <w:bCs/>
          <w:szCs w:val="21"/>
          <w:lang w:val="en-US" w:eastAsia="zh-CN"/>
        </w:rPr>
        <w:t>2、</w:t>
      </w:r>
      <w:r>
        <w:rPr>
          <w:rFonts w:hint="eastAsia" w:ascii="微软雅黑" w:hAnsi="微软雅黑" w:eastAsia="微软雅黑"/>
          <w:b/>
          <w:bCs/>
          <w:szCs w:val="21"/>
        </w:rPr>
        <w:t>节目上线打通乐队生态测评：</w:t>
      </w:r>
      <w:r>
        <w:rPr>
          <w:rFonts w:hint="eastAsia" w:ascii="微软雅黑" w:hAnsi="微软雅黑" w:eastAsia="微软雅黑"/>
          <w:szCs w:val="21"/>
        </w:rPr>
        <w:t>大乐迷马东以口播+使用+日常对话cue卖点检验测评“有微云台就稳了！”X50独特卖点。乐队们通过创意广告、同框展示、深度使用X50拍摄夜景模式超清晰还原炸裂舞台，</w:t>
      </w:r>
      <w:r>
        <w:rPr>
          <w:rFonts w:hint="eastAsia" w:ascii="微软雅黑" w:hAnsi="微软雅黑" w:eastAsia="微软雅黑"/>
          <w:bCs/>
          <w:szCs w:val="21"/>
        </w:rPr>
        <w:t>台下</w:t>
      </w:r>
      <w:r>
        <w:rPr>
          <w:rFonts w:hint="eastAsia" w:ascii="微软雅黑" w:hAnsi="微软雅黑" w:eastAsia="微软雅黑"/>
          <w:szCs w:val="21"/>
        </w:rPr>
        <w:t>乐队们自拍互动记录Talking、排练、表演后不为人知的真面目，通过乐队真实的态度与硬核的演出，多维度使用测评vivo手机功能卖点。</w:t>
      </w:r>
    </w:p>
    <w:p>
      <w:pPr>
        <w:pStyle w:val="21"/>
        <w:keepNext w:val="0"/>
        <w:keepLines w:val="0"/>
        <w:pageBreakBefore w:val="0"/>
        <w:widowControl w:val="0"/>
        <w:kinsoku/>
        <w:wordWrap/>
        <w:overflowPunct/>
        <w:topLinePunct w:val="0"/>
        <w:autoSpaceDE/>
        <w:autoSpaceDN/>
        <w:bidi w:val="0"/>
        <w:adjustRightInd/>
        <w:snapToGrid/>
        <w:spacing w:before="100" w:beforeAutospacing="1" w:after="100" w:afterAutospacing="1"/>
        <w:ind w:left="0" w:firstLine="0" w:firstLineChars="0"/>
        <w:jc w:val="center"/>
        <w:textAlignment w:val="baseline"/>
        <w:rPr>
          <w:rFonts w:ascii="微软雅黑" w:hAnsi="微软雅黑" w:eastAsia="微软雅黑"/>
          <w:b/>
          <w:sz w:val="22"/>
        </w:rPr>
      </w:pPr>
      <w:r>
        <w:drawing>
          <wp:inline distT="0" distB="0" distL="0" distR="0">
            <wp:extent cx="5704840" cy="3176905"/>
            <wp:effectExtent l="0" t="0" r="1016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704840" cy="3176905"/>
                    </a:xfrm>
                    <a:prstGeom prst="rect">
                      <a:avLst/>
                    </a:prstGeom>
                    <a:noFill/>
                    <a:ln>
                      <a:noFill/>
                    </a:ln>
                  </pic:spPr>
                </pic:pic>
              </a:graphicData>
            </a:graphic>
          </wp:inline>
        </w:drawing>
      </w:r>
    </w:p>
    <w:p>
      <w:pPr>
        <w:pStyle w:val="21"/>
        <w:keepNext w:val="0"/>
        <w:keepLines w:val="0"/>
        <w:pageBreakBefore w:val="0"/>
        <w:widowControl w:val="0"/>
        <w:kinsoku/>
        <w:wordWrap/>
        <w:overflowPunct/>
        <w:topLinePunct w:val="0"/>
        <w:autoSpaceDE/>
        <w:autoSpaceDN/>
        <w:bidi w:val="0"/>
        <w:adjustRightInd/>
        <w:snapToGrid/>
        <w:spacing w:before="100" w:beforeAutospacing="1" w:after="100" w:afterAutospacing="1"/>
        <w:ind w:left="0" w:firstLine="0" w:firstLineChars="0"/>
        <w:textAlignment w:val="baseline"/>
        <w:rPr>
          <w:rFonts w:ascii="微软雅黑" w:hAnsi="微软雅黑" w:eastAsia="微软雅黑"/>
          <w:b/>
          <w:sz w:val="22"/>
        </w:rPr>
      </w:pPr>
      <w:r>
        <w:drawing>
          <wp:inline distT="0" distB="0" distL="0" distR="0">
            <wp:extent cx="5716905" cy="3223895"/>
            <wp:effectExtent l="0" t="0" r="17145" b="1460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716905" cy="3223895"/>
                    </a:xfrm>
                    <a:prstGeom prst="rect">
                      <a:avLst/>
                    </a:prstGeom>
                    <a:noFill/>
                    <a:ln>
                      <a:noFill/>
                    </a:ln>
                  </pic:spPr>
                </pic:pic>
              </a:graphicData>
            </a:graphic>
          </wp:inline>
        </w:drawing>
      </w:r>
    </w:p>
    <w:p>
      <w:pPr>
        <w:pStyle w:val="21"/>
        <w:keepNext w:val="0"/>
        <w:keepLines w:val="0"/>
        <w:pageBreakBefore w:val="0"/>
        <w:widowControl w:val="0"/>
        <w:kinsoku/>
        <w:wordWrap/>
        <w:overflowPunct/>
        <w:topLinePunct w:val="0"/>
        <w:autoSpaceDE/>
        <w:autoSpaceDN/>
        <w:bidi w:val="0"/>
        <w:adjustRightInd/>
        <w:snapToGrid/>
        <w:spacing w:before="100" w:beforeAutospacing="1" w:after="100" w:afterAutospacing="1"/>
        <w:ind w:left="0" w:firstLine="0" w:firstLineChars="0"/>
        <w:jc w:val="center"/>
        <w:textAlignment w:val="baseline"/>
        <w:rPr>
          <w:rFonts w:ascii="微软雅黑" w:hAnsi="微软雅黑" w:eastAsia="微软雅黑"/>
          <w:b/>
          <w:sz w:val="22"/>
        </w:rPr>
      </w:pPr>
      <w:r>
        <w:drawing>
          <wp:inline distT="0" distB="0" distL="0" distR="0">
            <wp:extent cx="5208905" cy="2913380"/>
            <wp:effectExtent l="0" t="0" r="10795" b="12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08905" cy="2913380"/>
                    </a:xfrm>
                    <a:prstGeom prst="rect">
                      <a:avLst/>
                    </a:prstGeom>
                    <a:noFill/>
                    <a:ln>
                      <a:noFill/>
                    </a:ln>
                  </pic:spPr>
                </pic:pic>
              </a:graphicData>
            </a:graphic>
          </wp:inline>
        </w:drawing>
      </w:r>
    </w:p>
    <w:p>
      <w:pPr>
        <w:pStyle w:val="21"/>
        <w:keepNext w:val="0"/>
        <w:keepLines w:val="0"/>
        <w:pageBreakBefore w:val="0"/>
        <w:widowControl w:val="0"/>
        <w:kinsoku/>
        <w:wordWrap/>
        <w:overflowPunct/>
        <w:topLinePunct w:val="0"/>
        <w:autoSpaceDE/>
        <w:autoSpaceDN/>
        <w:bidi w:val="0"/>
        <w:adjustRightInd/>
        <w:snapToGrid/>
        <w:spacing w:before="100" w:beforeAutospacing="1" w:after="100" w:afterAutospacing="1"/>
        <w:ind w:left="0" w:firstLine="0" w:firstLineChars="0"/>
        <w:jc w:val="center"/>
        <w:textAlignment w:val="baseline"/>
        <w:rPr>
          <w:rFonts w:ascii="微软雅黑" w:hAnsi="微软雅黑" w:eastAsia="微软雅黑"/>
          <w:b/>
          <w:sz w:val="22"/>
        </w:rPr>
      </w:pPr>
      <w:r>
        <w:drawing>
          <wp:inline distT="0" distB="0" distL="0" distR="0">
            <wp:extent cx="5180330" cy="2903855"/>
            <wp:effectExtent l="0" t="0" r="1270" b="1079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180330" cy="2903855"/>
                    </a:xfrm>
                    <a:prstGeom prst="rect">
                      <a:avLst/>
                    </a:prstGeom>
                    <a:noFill/>
                    <a:ln>
                      <a:noFill/>
                    </a:ln>
                  </pic:spPr>
                </pic:pic>
              </a:graphicData>
            </a:graphic>
          </wp:inline>
        </w:drawing>
      </w:r>
    </w:p>
    <w:p>
      <w:pPr>
        <w:pStyle w:val="21"/>
        <w:keepNext w:val="0"/>
        <w:keepLines w:val="0"/>
        <w:pageBreakBefore w:val="0"/>
        <w:widowControl w:val="0"/>
        <w:kinsoku/>
        <w:wordWrap/>
        <w:overflowPunct/>
        <w:topLinePunct w:val="0"/>
        <w:autoSpaceDE/>
        <w:autoSpaceDN/>
        <w:bidi w:val="0"/>
        <w:adjustRightInd/>
        <w:snapToGrid/>
        <w:spacing w:before="100" w:beforeAutospacing="1" w:after="100" w:afterAutospacing="1"/>
        <w:ind w:left="0" w:firstLine="0" w:firstLineChars="0"/>
        <w:jc w:val="center"/>
        <w:textAlignment w:val="baseline"/>
        <w:rPr>
          <w:rFonts w:ascii="微软雅黑" w:hAnsi="微软雅黑" w:eastAsia="微软雅黑"/>
          <w:b/>
          <w:sz w:val="22"/>
        </w:rPr>
      </w:pPr>
      <w:r>
        <w:drawing>
          <wp:inline distT="0" distB="0" distL="0" distR="0">
            <wp:extent cx="5191760" cy="2910205"/>
            <wp:effectExtent l="0" t="0" r="8890" b="44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191760" cy="2910205"/>
                    </a:xfrm>
                    <a:prstGeom prst="rect">
                      <a:avLst/>
                    </a:prstGeom>
                    <a:noFill/>
                    <a:ln>
                      <a:noFill/>
                    </a:ln>
                  </pic:spPr>
                </pic:pic>
              </a:graphicData>
            </a:graphic>
          </wp:inline>
        </w:drawing>
      </w:r>
    </w:p>
    <w:p>
      <w:pPr>
        <w:pStyle w:val="21"/>
        <w:keepNext w:val="0"/>
        <w:keepLines w:val="0"/>
        <w:pageBreakBefore w:val="0"/>
        <w:widowControl w:val="0"/>
        <w:kinsoku/>
        <w:wordWrap/>
        <w:overflowPunct/>
        <w:topLinePunct w:val="0"/>
        <w:autoSpaceDE/>
        <w:autoSpaceDN/>
        <w:bidi w:val="0"/>
        <w:adjustRightInd/>
        <w:snapToGrid/>
        <w:spacing w:before="100" w:beforeAutospacing="1" w:after="100" w:afterAutospacing="1"/>
        <w:ind w:left="0" w:firstLine="0" w:firstLineChars="0"/>
        <w:jc w:val="center"/>
        <w:textAlignment w:val="baseline"/>
        <w:rPr>
          <w:rFonts w:hint="eastAsia" w:ascii="微软雅黑" w:hAnsi="微软雅黑" w:eastAsia="微软雅黑"/>
          <w:b/>
          <w:sz w:val="22"/>
        </w:rPr>
      </w:pPr>
      <w:r>
        <w:drawing>
          <wp:inline distT="0" distB="0" distL="0" distR="0">
            <wp:extent cx="5450840" cy="3084830"/>
            <wp:effectExtent l="0" t="0" r="1651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450840" cy="3084830"/>
                    </a:xfrm>
                    <a:prstGeom prst="rect">
                      <a:avLst/>
                    </a:prstGeom>
                    <a:noFill/>
                    <a:ln>
                      <a:noFill/>
                    </a:ln>
                  </pic:spPr>
                </pic:pic>
              </a:graphicData>
            </a:graphic>
          </wp:inline>
        </w:drawing>
      </w:r>
    </w:p>
    <w:p>
      <w:pPr>
        <w:pStyle w:val="21"/>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rPr>
          <w:rFonts w:ascii="微软雅黑" w:hAnsi="微软雅黑" w:eastAsia="微软雅黑"/>
          <w:szCs w:val="21"/>
        </w:rPr>
      </w:pPr>
      <w:r>
        <w:rPr>
          <w:rFonts w:hint="eastAsia" w:ascii="微软雅黑" w:hAnsi="微软雅黑" w:eastAsia="微软雅黑"/>
          <w:b/>
          <w:bCs/>
          <w:szCs w:val="21"/>
          <w:lang w:val="en-US" w:eastAsia="zh-CN"/>
        </w:rPr>
        <w:t>3、</w:t>
      </w:r>
      <w:r>
        <w:rPr>
          <w:rFonts w:hint="eastAsia" w:ascii="微软雅黑" w:hAnsi="微软雅黑" w:eastAsia="微软雅黑"/>
          <w:b/>
          <w:bCs/>
          <w:szCs w:val="21"/>
        </w:rPr>
        <w:t>节目收官联合互动持续测评：</w:t>
      </w:r>
      <w:r>
        <w:rPr>
          <w:rFonts w:hint="eastAsia" w:ascii="微软雅黑" w:hAnsi="微软雅黑" w:eastAsia="微软雅黑"/>
          <w:szCs w:val="21"/>
        </w:rPr>
        <w:t>TOP乐队联合微博话题发布</w:t>
      </w:r>
      <w:r>
        <w:rPr>
          <w:rFonts w:hint="eastAsia" w:ascii="微软雅黑" w:hAnsi="微软雅黑" w:eastAsia="微软雅黑"/>
          <w:bCs/>
          <w:szCs w:val="21"/>
        </w:rPr>
        <w:t>vivo final shot 互动，邀请大众乐迷们参与赢取vivo手机测评拍照效果，实现更大声量的开箱测评效应。</w:t>
      </w:r>
    </w:p>
    <w:p>
      <w:pPr>
        <w:pStyle w:val="21"/>
        <w:keepNext w:val="0"/>
        <w:keepLines w:val="0"/>
        <w:pageBreakBefore w:val="0"/>
        <w:widowControl w:val="0"/>
        <w:kinsoku/>
        <w:wordWrap/>
        <w:overflowPunct/>
        <w:topLinePunct w:val="0"/>
        <w:autoSpaceDE/>
        <w:autoSpaceDN/>
        <w:bidi w:val="0"/>
        <w:adjustRightInd/>
        <w:snapToGrid/>
        <w:spacing w:before="100" w:beforeAutospacing="1" w:after="100" w:afterAutospacing="1"/>
        <w:ind w:left="0" w:firstLine="0" w:firstLineChars="0"/>
        <w:jc w:val="center"/>
        <w:textAlignment w:val="baseline"/>
        <w:rPr>
          <w:rFonts w:hint="eastAsia" w:ascii="微软雅黑" w:hAnsi="微软雅黑" w:eastAsia="微软雅黑"/>
          <w:b/>
          <w:sz w:val="22"/>
        </w:rPr>
      </w:pPr>
      <w:r>
        <w:drawing>
          <wp:inline distT="0" distB="0" distL="0" distR="0">
            <wp:extent cx="5501640" cy="3056890"/>
            <wp:effectExtent l="0" t="0" r="3810" b="1016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501640" cy="305689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ind w:firstLine="0"/>
        <w:textAlignment w:val="baseline"/>
        <w:rPr>
          <w:rFonts w:ascii="微软雅黑" w:hAnsi="微软雅黑" w:eastAsia="微软雅黑"/>
          <w:b/>
          <w:color w:val="0000FF"/>
          <w:sz w:val="28"/>
        </w:rPr>
      </w:pPr>
      <w:r>
        <w:rPr>
          <w:rFonts w:hint="eastAsia" w:ascii="微软雅黑" w:hAnsi="微软雅黑" w:eastAsia="微软雅黑"/>
          <w:b/>
          <w:color w:val="0000FF"/>
          <w:sz w:val="28"/>
        </w:rPr>
        <w:t>营销效果与市场反馈</w:t>
      </w:r>
    </w:p>
    <w:p>
      <w:pPr>
        <w:keepNext w:val="0"/>
        <w:keepLines w:val="0"/>
        <w:pageBreakBefore w:val="0"/>
        <w:kinsoku/>
        <w:wordWrap/>
        <w:overflowPunct/>
        <w:topLinePunct w:val="0"/>
        <w:autoSpaceDE/>
        <w:autoSpaceDN/>
        <w:bidi w:val="0"/>
        <w:adjustRightInd/>
        <w:snapToGrid/>
        <w:spacing w:before="100" w:beforeAutospacing="1" w:after="100" w:afterAutospacing="1"/>
        <w:ind w:firstLine="0"/>
        <w:rPr>
          <w:rFonts w:hint="eastAsia" w:ascii="微软雅黑" w:hAnsi="微软雅黑" w:eastAsia="微软雅黑"/>
          <w:sz w:val="21"/>
          <w:szCs w:val="21"/>
          <w:lang w:val="en-US" w:eastAsia="zh-CN"/>
        </w:rPr>
      </w:pPr>
      <w:r>
        <w:rPr>
          <w:rFonts w:hint="eastAsia" w:ascii="微软雅黑" w:hAnsi="微软雅黑" w:eastAsia="微软雅黑"/>
          <w:b/>
          <w:bCs/>
          <w:sz w:val="21"/>
          <w:szCs w:val="21"/>
          <w:lang w:val="en-US" w:eastAsia="zh-CN"/>
        </w:rPr>
        <w:t>视频链接：</w:t>
      </w:r>
      <w:r>
        <w:rPr>
          <w:rFonts w:hint="eastAsia" w:ascii="微软雅黑" w:hAnsi="微软雅黑" w:eastAsia="微软雅黑"/>
          <w:sz w:val="21"/>
          <w:szCs w:val="21"/>
        </w:rPr>
        <w:fldChar w:fldCharType="begin"/>
      </w:r>
      <w:r>
        <w:rPr>
          <w:rFonts w:hint="eastAsia" w:ascii="微软雅黑" w:hAnsi="微软雅黑" w:eastAsia="微软雅黑"/>
          <w:sz w:val="21"/>
          <w:szCs w:val="21"/>
        </w:rPr>
        <w:instrText xml:space="preserve"> HYPERLINK "http://www.iqiyi.com/v_oawlzbxkc8.html" </w:instrText>
      </w:r>
      <w:r>
        <w:rPr>
          <w:rFonts w:hint="eastAsia" w:ascii="微软雅黑" w:hAnsi="微软雅黑" w:eastAsia="微软雅黑"/>
          <w:sz w:val="21"/>
          <w:szCs w:val="21"/>
        </w:rPr>
        <w:fldChar w:fldCharType="separate"/>
      </w:r>
      <w:r>
        <w:rPr>
          <w:rStyle w:val="16"/>
          <w:rFonts w:hint="eastAsia" w:ascii="微软雅黑" w:hAnsi="微软雅黑" w:eastAsia="微软雅黑"/>
          <w:sz w:val="21"/>
          <w:szCs w:val="21"/>
        </w:rPr>
        <w:t>http://www.iqiyi.com/v_oawlzbxkc8.html</w:t>
      </w:r>
      <w:r>
        <w:rPr>
          <w:rFonts w:hint="eastAsia" w:ascii="微软雅黑" w:hAnsi="微软雅黑" w:eastAsia="微软雅黑"/>
          <w:sz w:val="21"/>
          <w:szCs w:val="21"/>
        </w:rPr>
        <w:fldChar w:fldCharType="end"/>
      </w:r>
      <w:r>
        <w:rPr>
          <w:rFonts w:hint="eastAsia" w:ascii="微软雅黑" w:hAnsi="微软雅黑" w:eastAsia="微软雅黑"/>
          <w:sz w:val="21"/>
          <w:szCs w:val="21"/>
          <w:lang w:val="en-US" w:eastAsia="zh-CN"/>
        </w:rPr>
        <w:t xml:space="preserve"> </w:t>
      </w:r>
    </w:p>
    <w:p>
      <w:pPr>
        <w:keepNext w:val="0"/>
        <w:keepLines w:val="0"/>
        <w:pageBreakBefore w:val="0"/>
        <w:kinsoku/>
        <w:wordWrap/>
        <w:overflowPunct/>
        <w:topLinePunct w:val="0"/>
        <w:autoSpaceDE/>
        <w:autoSpaceDN/>
        <w:bidi w:val="0"/>
        <w:adjustRightInd/>
        <w:snapToGrid/>
        <w:spacing w:before="100" w:beforeAutospacing="1" w:after="100" w:afterAutospacing="1"/>
        <w:ind w:firstLine="0"/>
        <w:rPr>
          <w:rFonts w:hint="eastAsia" w:ascii="微软雅黑" w:hAnsi="微软雅黑" w:eastAsia="微软雅黑"/>
          <w:sz w:val="21"/>
          <w:szCs w:val="21"/>
        </w:rPr>
      </w:pPr>
      <w:r>
        <w:rPr>
          <w:rFonts w:hint="eastAsia" w:ascii="微软雅黑" w:hAnsi="微软雅黑" w:eastAsia="微软雅黑"/>
          <w:sz w:val="21"/>
          <w:szCs w:val="21"/>
        </w:rPr>
        <w:t>vivo与《乐队的夏天2》属于第二季延续性合作，除了节目植入与常规权益外，实现两大创新联动：</w:t>
      </w:r>
    </w:p>
    <w:p>
      <w:pPr>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rPr>
          <w:rFonts w:hint="eastAsia" w:ascii="微软雅黑" w:hAnsi="微软雅黑" w:eastAsia="微软雅黑"/>
          <w:sz w:val="21"/>
          <w:szCs w:val="21"/>
          <w:lang w:eastAsia="zh-CN"/>
        </w:rPr>
      </w:pPr>
      <w:r>
        <w:rPr>
          <w:rFonts w:hint="eastAsia" w:ascii="微软雅黑" w:hAnsi="微软雅黑" w:eastAsia="微软雅黑"/>
          <w:sz w:val="21"/>
          <w:szCs w:val="21"/>
          <w:lang w:val="en-US" w:eastAsia="zh-CN"/>
        </w:rPr>
        <w:t>1、</w:t>
      </w:r>
      <w:r>
        <w:rPr>
          <w:rFonts w:hint="eastAsia" w:ascii="微软雅黑" w:hAnsi="微软雅黑" w:eastAsia="微软雅黑"/>
          <w:sz w:val="21"/>
          <w:szCs w:val="21"/>
        </w:rPr>
        <w:t>联动《乐队的夏天》第一季、第二季乐队表演，承前启后，邀请第一季TOP乐队演出，官宣第二季人气乐队名单，同台竞技</w:t>
      </w:r>
      <w:r>
        <w:rPr>
          <w:rFonts w:hint="eastAsia" w:ascii="微软雅黑" w:hAnsi="微软雅黑" w:eastAsia="微软雅黑"/>
          <w:sz w:val="21"/>
          <w:szCs w:val="21"/>
          <w:lang w:eastAsia="zh-CN"/>
        </w:rPr>
        <w:t>；</w:t>
      </w:r>
    </w:p>
    <w:p>
      <w:pPr>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rPr>
          <w:rFonts w:hint="eastAsia" w:ascii="微软雅黑" w:hAnsi="微软雅黑" w:eastAsia="微软雅黑"/>
          <w:sz w:val="21"/>
          <w:szCs w:val="21"/>
        </w:rPr>
      </w:pPr>
      <w:r>
        <w:rPr>
          <w:rFonts w:hint="eastAsia" w:ascii="微软雅黑" w:hAnsi="微软雅黑" w:eastAsia="微软雅黑"/>
          <w:sz w:val="21"/>
          <w:szCs w:val="21"/>
          <w:lang w:val="en-US" w:eastAsia="zh-CN"/>
        </w:rPr>
        <w:t>2、</w:t>
      </w:r>
      <w:r>
        <w:rPr>
          <w:rFonts w:hint="eastAsia" w:ascii="微软雅黑" w:hAnsi="微软雅黑" w:eastAsia="微软雅黑"/>
          <w:sz w:val="21"/>
          <w:szCs w:val="21"/>
        </w:rPr>
        <w:t>联动品牌新机发布会与乐队开箱live show，首次以发布会直播形式同步官宣节目乐队名单，借势《乐夏》IP影响力，与延续合作品牌优势，为新机发布会造势，并提升节目赞助身份效应。为品牌新机发布收获更多目标人群关注。</w:t>
      </w:r>
    </w:p>
    <w:p>
      <w:pPr>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rPr>
          <w:rFonts w:ascii="微软雅黑" w:hAnsi="微软雅黑" w:eastAsia="微软雅黑"/>
          <w:sz w:val="21"/>
          <w:szCs w:val="21"/>
        </w:rPr>
      </w:pPr>
      <w:r>
        <w:rPr>
          <w:rFonts w:hint="eastAsia" w:ascii="微软雅黑" w:hAnsi="微软雅黑" w:eastAsia="微软雅黑"/>
          <w:sz w:val="21"/>
          <w:szCs w:val="21"/>
        </w:rPr>
        <w:t>节目微博</w:t>
      </w:r>
      <w:r>
        <w:rPr>
          <w:rFonts w:hint="eastAsia" w:ascii="微软雅黑" w:hAnsi="微软雅黑" w:eastAsia="微软雅黑"/>
          <w:b/>
          <w:bCs/>
          <w:iCs/>
          <w:sz w:val="21"/>
          <w:szCs w:val="21"/>
        </w:rPr>
        <w:t>相关话题阅读量125亿+，相关短视频播放量30亿，高流量口碑为vivo新机发布实现高讨论度与关注度。</w:t>
      </w:r>
      <w:r>
        <w:rPr>
          <w:rFonts w:hint="eastAsia" w:ascii="微软雅黑" w:hAnsi="微软雅黑" w:eastAsia="微软雅黑"/>
          <w:sz w:val="21"/>
          <w:szCs w:val="21"/>
        </w:rPr>
        <w:t>结合站内超强推广阵容，为vivo实现广告全站曝光超100%完成。</w:t>
      </w:r>
    </w:p>
    <w:p>
      <w:pPr>
        <w:keepNext w:val="0"/>
        <w:keepLines w:val="0"/>
        <w:pageBreakBefore w:val="0"/>
        <w:kinsoku/>
        <w:wordWrap/>
        <w:overflowPunct/>
        <w:topLinePunct w:val="0"/>
        <w:autoSpaceDE/>
        <w:autoSpaceDN/>
        <w:bidi w:val="0"/>
        <w:adjustRightInd/>
        <w:snapToGrid/>
        <w:spacing w:before="100" w:beforeAutospacing="1" w:after="100" w:afterAutospacing="1"/>
        <w:ind w:firstLine="0"/>
        <w:jc w:val="center"/>
        <w:rPr>
          <w:rFonts w:ascii="微软雅黑" w:hAnsi="微软雅黑" w:eastAsia="微软雅黑"/>
          <w:color w:val="FF0000"/>
          <w:sz w:val="20"/>
        </w:rPr>
      </w:pPr>
      <w:r>
        <w:drawing>
          <wp:inline distT="0" distB="0" distL="0" distR="0">
            <wp:extent cx="5516880" cy="308292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530389" cy="3090230"/>
                    </a:xfrm>
                    <a:prstGeom prst="rect">
                      <a:avLst/>
                    </a:prstGeom>
                    <a:noFill/>
                    <a:ln>
                      <a:noFill/>
                    </a:ln>
                  </pic:spPr>
                </pic:pic>
              </a:graphicData>
            </a:graphic>
          </wp:inline>
        </w:drawing>
      </w:r>
    </w:p>
    <w:p>
      <w:pPr>
        <w:pStyle w:val="21"/>
        <w:keepNext w:val="0"/>
        <w:keepLines w:val="0"/>
        <w:pageBreakBefore w:val="0"/>
        <w:kinsoku/>
        <w:wordWrap/>
        <w:overflowPunct/>
        <w:topLinePunct w:val="0"/>
        <w:autoSpaceDE/>
        <w:autoSpaceDN/>
        <w:bidi w:val="0"/>
        <w:adjustRightInd/>
        <w:snapToGrid/>
        <w:spacing w:before="100" w:beforeAutospacing="1" w:after="100" w:afterAutospacing="1"/>
        <w:rPr>
          <w:rFonts w:ascii="微软雅黑" w:hAnsi="微软雅黑" w:eastAsia="微软雅黑"/>
          <w:color w:val="FF0000"/>
          <w:szCs w:val="21"/>
        </w:rPr>
      </w:pPr>
    </w:p>
    <w:sectPr>
      <w:headerReference r:id="rId3" w:type="default"/>
      <w:footerReference r:id="rId4" w:type="default"/>
      <w:footerReference r:id="rId5" w:type="even"/>
      <w:pgSz w:w="11906" w:h="16838"/>
      <w:pgMar w:top="720" w:right="1196" w:bottom="624" w:left="1701" w:header="468" w:footer="907"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rPr>
        <w:rStyle w:val="14"/>
      </w:rPr>
    </w:pPr>
  </w:p>
  <w:p>
    <w:pPr>
      <w:pStyle w:val="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1</w:t>
    </w:r>
    <w:r>
      <w:fldChar w:fldCharType="end"/>
    </w:r>
  </w:p>
  <w:p>
    <w:pPr>
      <w:pStyle w:val="6"/>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both"/>
      <w:rPr>
        <w:rFonts w:ascii="微软雅黑" w:hAnsi="微软雅黑" w:eastAsia="微软雅黑"/>
        <w:color w:val="333333"/>
        <w:sz w:val="21"/>
      </w:rPr>
    </w:pPr>
    <w:r>
      <w:rPr>
        <w:b/>
        <w:color w:val="333333"/>
        <w:sz w:val="21"/>
      </w:rPr>
      <w:drawing>
        <wp:inline distT="0" distB="0" distL="0" distR="0">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hint="eastAsia" w:ascii="微软雅黑" w:hAnsi="微软雅黑" w:eastAsia="微软雅黑"/>
        <w:color w:val="333333"/>
        <w:sz w:val="21"/>
      </w:rPr>
      <w:t>第</w:t>
    </w:r>
    <w:r>
      <w:rPr>
        <w:rFonts w:ascii="微软雅黑" w:hAnsi="微软雅黑" w:eastAsia="微软雅黑"/>
        <w:color w:val="333333"/>
        <w:sz w:val="21"/>
      </w:rPr>
      <w:t>12</w:t>
    </w:r>
    <w:r>
      <w:rPr>
        <w:rFonts w:hint="eastAsia" w:ascii="微软雅黑" w:hAnsi="微软雅黑" w:eastAsia="微软雅黑"/>
        <w:color w:val="333333"/>
        <w:sz w:val="21"/>
      </w:rPr>
      <w:t>届金鼠标数字营销大赛</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FCE"/>
    <w:rsid w:val="00020E7A"/>
    <w:rsid w:val="00024497"/>
    <w:rsid w:val="00046CF7"/>
    <w:rsid w:val="000532E1"/>
    <w:rsid w:val="00056E4C"/>
    <w:rsid w:val="0005715B"/>
    <w:rsid w:val="0006079A"/>
    <w:rsid w:val="000631F9"/>
    <w:rsid w:val="00071CE5"/>
    <w:rsid w:val="000724F0"/>
    <w:rsid w:val="0007509B"/>
    <w:rsid w:val="00077EC5"/>
    <w:rsid w:val="000915E6"/>
    <w:rsid w:val="00097129"/>
    <w:rsid w:val="000979A5"/>
    <w:rsid w:val="000A3EB7"/>
    <w:rsid w:val="000B2399"/>
    <w:rsid w:val="000D05FE"/>
    <w:rsid w:val="000D6DC9"/>
    <w:rsid w:val="000E10C0"/>
    <w:rsid w:val="000E18A5"/>
    <w:rsid w:val="000E2A45"/>
    <w:rsid w:val="000F07ED"/>
    <w:rsid w:val="000F4F10"/>
    <w:rsid w:val="000F5168"/>
    <w:rsid w:val="000F63B2"/>
    <w:rsid w:val="00106EA3"/>
    <w:rsid w:val="0010732C"/>
    <w:rsid w:val="00114DD5"/>
    <w:rsid w:val="001265C9"/>
    <w:rsid w:val="00131A61"/>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E12DA"/>
    <w:rsid w:val="001E38F1"/>
    <w:rsid w:val="001E6133"/>
    <w:rsid w:val="001F17F1"/>
    <w:rsid w:val="001F36FC"/>
    <w:rsid w:val="001F4270"/>
    <w:rsid w:val="00205657"/>
    <w:rsid w:val="0020719F"/>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99"/>
    <w:rsid w:val="004F7523"/>
    <w:rsid w:val="005002D8"/>
    <w:rsid w:val="00506B17"/>
    <w:rsid w:val="00507EB8"/>
    <w:rsid w:val="0052080E"/>
    <w:rsid w:val="005344CB"/>
    <w:rsid w:val="00535A1F"/>
    <w:rsid w:val="005479C8"/>
    <w:rsid w:val="00547E1C"/>
    <w:rsid w:val="005504E6"/>
    <w:rsid w:val="0055479D"/>
    <w:rsid w:val="00567477"/>
    <w:rsid w:val="0057565D"/>
    <w:rsid w:val="005764AD"/>
    <w:rsid w:val="00577574"/>
    <w:rsid w:val="0058033D"/>
    <w:rsid w:val="00582F7D"/>
    <w:rsid w:val="005A539D"/>
    <w:rsid w:val="005A56AE"/>
    <w:rsid w:val="005A697D"/>
    <w:rsid w:val="005B2564"/>
    <w:rsid w:val="005B6389"/>
    <w:rsid w:val="005C011B"/>
    <w:rsid w:val="005C16B2"/>
    <w:rsid w:val="005D5D19"/>
    <w:rsid w:val="005D614B"/>
    <w:rsid w:val="005D77D7"/>
    <w:rsid w:val="005E3D19"/>
    <w:rsid w:val="005E4E84"/>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C16A7"/>
    <w:rsid w:val="006C1733"/>
    <w:rsid w:val="006C6472"/>
    <w:rsid w:val="006D2064"/>
    <w:rsid w:val="006D4934"/>
    <w:rsid w:val="006D5766"/>
    <w:rsid w:val="006F421E"/>
    <w:rsid w:val="006F662D"/>
    <w:rsid w:val="007040B0"/>
    <w:rsid w:val="00710B89"/>
    <w:rsid w:val="00715AD3"/>
    <w:rsid w:val="00716B53"/>
    <w:rsid w:val="0072102A"/>
    <w:rsid w:val="0072725D"/>
    <w:rsid w:val="0073004D"/>
    <w:rsid w:val="0073428A"/>
    <w:rsid w:val="007365E4"/>
    <w:rsid w:val="00753753"/>
    <w:rsid w:val="007538EE"/>
    <w:rsid w:val="00764220"/>
    <w:rsid w:val="0079238C"/>
    <w:rsid w:val="00793F18"/>
    <w:rsid w:val="00795109"/>
    <w:rsid w:val="007A0451"/>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5738D"/>
    <w:rsid w:val="008612D4"/>
    <w:rsid w:val="008674D7"/>
    <w:rsid w:val="00880022"/>
    <w:rsid w:val="008875A4"/>
    <w:rsid w:val="008B2200"/>
    <w:rsid w:val="008B689B"/>
    <w:rsid w:val="008C2693"/>
    <w:rsid w:val="008F2CAF"/>
    <w:rsid w:val="00902EA3"/>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A9"/>
    <w:rsid w:val="00983853"/>
    <w:rsid w:val="009849FB"/>
    <w:rsid w:val="00993AA4"/>
    <w:rsid w:val="009B0E2C"/>
    <w:rsid w:val="009B796F"/>
    <w:rsid w:val="009C6E37"/>
    <w:rsid w:val="009E0D6A"/>
    <w:rsid w:val="009E6D94"/>
    <w:rsid w:val="009F2EDC"/>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7554"/>
    <w:rsid w:val="00BB0E07"/>
    <w:rsid w:val="00BB1A99"/>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73B42"/>
    <w:rsid w:val="00C84D72"/>
    <w:rsid w:val="00C93159"/>
    <w:rsid w:val="00C96025"/>
    <w:rsid w:val="00CA397B"/>
    <w:rsid w:val="00CA426C"/>
    <w:rsid w:val="00CB2251"/>
    <w:rsid w:val="00CB2938"/>
    <w:rsid w:val="00CB29C6"/>
    <w:rsid w:val="00CB462E"/>
    <w:rsid w:val="00CB4A74"/>
    <w:rsid w:val="00CC24FE"/>
    <w:rsid w:val="00CC70FB"/>
    <w:rsid w:val="00CE55AC"/>
    <w:rsid w:val="00D13BC3"/>
    <w:rsid w:val="00D14F03"/>
    <w:rsid w:val="00D409BB"/>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40EE7"/>
    <w:rsid w:val="00E457D7"/>
    <w:rsid w:val="00E46527"/>
    <w:rsid w:val="00E52687"/>
    <w:rsid w:val="00E569E4"/>
    <w:rsid w:val="00E60CF7"/>
    <w:rsid w:val="00E60DF3"/>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C6951"/>
    <w:rsid w:val="00ED507C"/>
    <w:rsid w:val="00EE38CD"/>
    <w:rsid w:val="00EE6D2C"/>
    <w:rsid w:val="00EE72D7"/>
    <w:rsid w:val="00F0134F"/>
    <w:rsid w:val="00F22C99"/>
    <w:rsid w:val="00F35569"/>
    <w:rsid w:val="00F3618F"/>
    <w:rsid w:val="00F4008B"/>
    <w:rsid w:val="00F41E61"/>
    <w:rsid w:val="00F503C8"/>
    <w:rsid w:val="00F56689"/>
    <w:rsid w:val="00F821BF"/>
    <w:rsid w:val="00F853FB"/>
    <w:rsid w:val="00FA4FF9"/>
    <w:rsid w:val="00FA7E52"/>
    <w:rsid w:val="00FB3C62"/>
    <w:rsid w:val="00FB6FEC"/>
    <w:rsid w:val="00FC3853"/>
    <w:rsid w:val="00FC53DE"/>
    <w:rsid w:val="00FC629F"/>
    <w:rsid w:val="00FC74F1"/>
    <w:rsid w:val="00FC7652"/>
    <w:rsid w:val="00FD2192"/>
    <w:rsid w:val="00FD7838"/>
    <w:rsid w:val="00FD7E55"/>
    <w:rsid w:val="00FE1360"/>
    <w:rsid w:val="00FE497C"/>
    <w:rsid w:val="00FE70B2"/>
    <w:rsid w:val="00FE7398"/>
    <w:rsid w:val="159C5A39"/>
    <w:rsid w:val="6D2015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qFormat/>
    <w:uiPriority w:val="0"/>
    <w:pPr>
      <w:spacing w:before="100" w:beforeAutospacing="1" w:after="100" w:afterAutospacing="1"/>
      <w:outlineLvl w:val="0"/>
    </w:pPr>
    <w:rPr>
      <w:rFonts w:cs="Times New Roman"/>
      <w:b/>
      <w:kern w:val="36"/>
      <w:sz w:val="48"/>
      <w:szCs w:val="20"/>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Body Text Indent"/>
    <w:basedOn w:val="1"/>
    <w:qFormat/>
    <w:uiPriority w:val="0"/>
    <w:pPr>
      <w:autoSpaceDE w:val="0"/>
      <w:autoSpaceDN w:val="0"/>
      <w:adjustRightInd w:val="0"/>
      <w:spacing w:line="240" w:lineRule="atLeast"/>
      <w:ind w:left="2160"/>
    </w:pPr>
    <w:rPr>
      <w:rFonts w:ascii="Arial" w:hAnsi="Arial" w:cs="Times New Roman"/>
      <w:color w:val="000000"/>
      <w:szCs w:val="20"/>
      <w:lang w:eastAsia="en-US"/>
    </w:rPr>
  </w:style>
  <w:style w:type="paragraph" w:styleId="4">
    <w:name w:val="Plain Text"/>
    <w:basedOn w:val="1"/>
    <w:qFormat/>
    <w:uiPriority w:val="0"/>
    <w:rPr>
      <w:rFonts w:ascii="Arial" w:hAnsi="Arial" w:cs="Times New Roman"/>
      <w:sz w:val="18"/>
      <w:szCs w:val="20"/>
    </w:rPr>
  </w:style>
  <w:style w:type="paragraph" w:styleId="5">
    <w:name w:val="Balloon Text"/>
    <w:basedOn w:val="1"/>
    <w:link w:val="25"/>
    <w:semiHidden/>
    <w:unhideWhenUsed/>
    <w:qFormat/>
    <w:uiPriority w:val="99"/>
    <w:rPr>
      <w:sz w:val="18"/>
      <w:szCs w:val="18"/>
    </w:rPr>
  </w:style>
  <w:style w:type="paragraph" w:styleId="6">
    <w:name w:val="footer"/>
    <w:basedOn w:val="1"/>
    <w:qFormat/>
    <w:uiPriority w:val="0"/>
    <w:pPr>
      <w:widowControl w:val="0"/>
      <w:tabs>
        <w:tab w:val="center" w:pos="4153"/>
        <w:tab w:val="right" w:pos="8306"/>
      </w:tabs>
      <w:snapToGrid w:val="0"/>
    </w:pPr>
    <w:rPr>
      <w:rFonts w:ascii="Times New Roman" w:hAnsi="Times New Roman" w:cs="Times New Roman"/>
      <w:kern w:val="2"/>
      <w:sz w:val="18"/>
      <w:szCs w:val="20"/>
    </w:rPr>
  </w:style>
  <w:style w:type="paragraph" w:styleId="7">
    <w:name w:val="header"/>
    <w:basedOn w:val="1"/>
    <w:qFormat/>
    <w:uiPriority w:val="0"/>
    <w:pPr>
      <w:widowControl w:val="0"/>
      <w:pBdr>
        <w:bottom w:val="single" w:color="auto" w:sz="6" w:space="1"/>
      </w:pBdr>
      <w:tabs>
        <w:tab w:val="center" w:pos="4153"/>
        <w:tab w:val="right" w:pos="8306"/>
      </w:tabs>
      <w:snapToGrid w:val="0"/>
      <w:jc w:val="center"/>
    </w:pPr>
    <w:rPr>
      <w:rFonts w:ascii="Times New Roman" w:hAnsi="Times New Roman" w:cs="Times New Roman"/>
      <w:kern w:val="2"/>
      <w:sz w:val="18"/>
      <w:szCs w:val="20"/>
    </w:rPr>
  </w:style>
  <w:style w:type="paragraph" w:styleId="8">
    <w:name w:val="Normal (Web)"/>
    <w:basedOn w:val="1"/>
    <w:qFormat/>
    <w:uiPriority w:val="0"/>
    <w:pPr>
      <w:spacing w:before="100" w:beforeAutospacing="1" w:after="100" w:afterAutospacing="1"/>
    </w:pPr>
    <w:rPr>
      <w:rFonts w:cs="Times New Roman"/>
      <w:szCs w:val="20"/>
    </w:rPr>
  </w:style>
  <w:style w:type="paragraph" w:styleId="9">
    <w:name w:val="Title"/>
    <w:basedOn w:val="1"/>
    <w:link w:val="17"/>
    <w:qFormat/>
    <w:uiPriority w:val="0"/>
    <w:pPr>
      <w:jc w:val="center"/>
    </w:pPr>
    <w:rPr>
      <w:rFonts w:ascii="Times New Roman" w:hAnsi="Times New Roman" w:cs="Times New Roman"/>
      <w:b/>
      <w:kern w:val="2"/>
      <w:sz w:val="28"/>
      <w:szCs w:val="20"/>
      <w:lang w:eastAsia="en-US"/>
    </w:rPr>
  </w:style>
  <w:style w:type="table" w:styleId="11">
    <w:name w:val="Table Grid"/>
    <w:basedOn w:val="10"/>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Emphasis"/>
    <w:basedOn w:val="12"/>
    <w:qFormat/>
    <w:uiPriority w:val="0"/>
    <w:rPr>
      <w:i/>
    </w:rPr>
  </w:style>
  <w:style w:type="character" w:styleId="16">
    <w:name w:val="Hyperlink"/>
    <w:basedOn w:val="12"/>
    <w:qFormat/>
    <w:uiPriority w:val="0"/>
    <w:rPr>
      <w:color w:val="0000FF"/>
      <w:u w:val="single"/>
    </w:rPr>
  </w:style>
  <w:style w:type="character" w:customStyle="1" w:styleId="17">
    <w:name w:val="标题 字符"/>
    <w:basedOn w:val="12"/>
    <w:link w:val="9"/>
    <w:qFormat/>
    <w:uiPriority w:val="0"/>
    <w:rPr>
      <w:b/>
      <w:sz w:val="28"/>
      <w:lang w:eastAsia="en-US"/>
    </w:rPr>
  </w:style>
  <w:style w:type="character" w:customStyle="1" w:styleId="18">
    <w:name w:val="bottom1"/>
    <w:basedOn w:val="12"/>
    <w:uiPriority w:val="0"/>
    <w:rPr>
      <w:color w:val="6E6E6E"/>
    </w:rPr>
  </w:style>
  <w:style w:type="character" w:customStyle="1" w:styleId="19">
    <w:name w:val="apple-converted-space"/>
    <w:basedOn w:val="12"/>
    <w:qFormat/>
    <w:uiPriority w:val="0"/>
  </w:style>
  <w:style w:type="character" w:customStyle="1" w:styleId="20">
    <w:name w:val="apple-style-span"/>
    <w:basedOn w:val="12"/>
    <w:qFormat/>
    <w:uiPriority w:val="0"/>
  </w:style>
  <w:style w:type="paragraph" w:styleId="21">
    <w:name w:val="List Paragraph"/>
    <w:basedOn w:val="1"/>
    <w:qFormat/>
    <w:uiPriority w:val="34"/>
    <w:pPr>
      <w:widowControl w:val="0"/>
      <w:ind w:firstLine="420" w:firstLineChars="200"/>
      <w:jc w:val="both"/>
    </w:pPr>
    <w:rPr>
      <w:rFonts w:ascii="Calibri" w:hAnsi="Calibri" w:cs="Times New Roman"/>
      <w:kern w:val="2"/>
      <w:sz w:val="21"/>
      <w:szCs w:val="20"/>
    </w:rPr>
  </w:style>
  <w:style w:type="paragraph" w:customStyle="1" w:styleId="22">
    <w:name w:val="p0"/>
    <w:basedOn w:val="1"/>
    <w:qFormat/>
    <w:uiPriority w:val="0"/>
    <w:pPr>
      <w:jc w:val="both"/>
    </w:pPr>
    <w:rPr>
      <w:rFonts w:ascii="Times New Roman" w:hAnsi="Times New Roman" w:cs="Times New Roman"/>
      <w:sz w:val="21"/>
      <w:szCs w:val="20"/>
    </w:rPr>
  </w:style>
  <w:style w:type="paragraph" w:customStyle="1" w:styleId="23">
    <w:name w:val="css"/>
    <w:basedOn w:val="1"/>
    <w:qFormat/>
    <w:uiPriority w:val="0"/>
    <w:pPr>
      <w:spacing w:before="100" w:beforeAutospacing="1" w:after="100" w:afterAutospacing="1"/>
    </w:pPr>
    <w:rPr>
      <w:rFonts w:cs="Times New Roman"/>
      <w:color w:val="0F0000"/>
      <w:sz w:val="18"/>
      <w:szCs w:val="20"/>
    </w:rPr>
  </w:style>
  <w:style w:type="paragraph" w:customStyle="1" w:styleId="24">
    <w:name w:val="清單段落"/>
    <w:basedOn w:val="1"/>
    <w:qFormat/>
    <w:uiPriority w:val="0"/>
    <w:pPr>
      <w:widowControl w:val="0"/>
      <w:ind w:left="720"/>
      <w:jc w:val="both"/>
    </w:pPr>
    <w:rPr>
      <w:rFonts w:ascii="Times New Roman" w:hAnsi="Times New Roman" w:cs="Times New Roman"/>
      <w:kern w:val="2"/>
      <w:sz w:val="21"/>
      <w:szCs w:val="20"/>
    </w:rPr>
  </w:style>
  <w:style w:type="character" w:customStyle="1" w:styleId="25">
    <w:name w:val="批注框文本 字符"/>
    <w:basedOn w:val="12"/>
    <w:link w:val="5"/>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customXml" Target="../customXml/item1.xml"/><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F4231B1-F69A-4D3B-8813-11AE1885F966}">
  <ds:schemaRefs/>
</ds:datastoreItem>
</file>

<file path=docProps/app.xml><?xml version="1.0" encoding="utf-8"?>
<Properties xmlns="http://schemas.openxmlformats.org/officeDocument/2006/extended-properties" xmlns:vt="http://schemas.openxmlformats.org/officeDocument/2006/docPropsVTypes">
  <Template>Normal</Template>
  <Company>WWW.YlmF.CoM</Company>
  <Pages>6</Pages>
  <Words>310</Words>
  <Characters>1773</Characters>
  <Lines>14</Lines>
  <Paragraphs>4</Paragraphs>
  <TotalTime>3</TotalTime>
  <ScaleCrop>false</ScaleCrop>
  <LinksUpToDate>false</LinksUpToDate>
  <CharactersWithSpaces>2079</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2015-11-23T07:28:00Z</dcterms:created>
  <dc:creator>雨林木风</dc:creator>
  <cp:lastModifiedBy>韩旭</cp:lastModifiedBy>
  <cp:lastPrinted>2012-10-11T08:46:00Z</cp:lastPrinted>
  <dcterms:modified xsi:type="dcterms:W3CDTF">2021-02-23T06:43:04Z</dcterms:modified>
  <dc:title>No</dc:title>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