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AF3987D" w14:textId="5EBA1621" w:rsidR="00060FE3" w:rsidRDefault="00231337">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231337">
        <w:rPr>
          <w:rFonts w:ascii="微软雅黑" w:eastAsia="微软雅黑" w:hAnsi="微软雅黑" w:hint="eastAsia"/>
          <w:b/>
          <w:sz w:val="32"/>
          <w:szCs w:val="32"/>
        </w:rPr>
        <w:t>云养信小狮</w:t>
      </w:r>
    </w:p>
    <w:p w14:paraId="4F86E415" w14:textId="77777777" w:rsidR="00060FE3" w:rsidRDefault="007807C2">
      <w:pPr>
        <w:textAlignment w:val="baseline"/>
        <w:rPr>
          <w:rFonts w:ascii="微软雅黑" w:eastAsia="微软雅黑" w:hAnsi="微软雅黑"/>
          <w:b/>
        </w:rPr>
      </w:pPr>
      <w:r>
        <w:rPr>
          <w:rFonts w:ascii="微软雅黑" w:eastAsia="微软雅黑" w:hAnsi="微软雅黑" w:hint="eastAsia"/>
          <w:b/>
        </w:rPr>
        <w:t>广</w:t>
      </w:r>
      <w:r>
        <w:rPr>
          <w:rFonts w:ascii="微软雅黑" w:eastAsia="微软雅黑" w:hAnsi="微软雅黑" w:hint="eastAsia"/>
          <w:b/>
        </w:rPr>
        <w:t xml:space="preserve"> </w:t>
      </w:r>
      <w:r>
        <w:rPr>
          <w:rFonts w:ascii="微软雅黑" w:eastAsia="微软雅黑" w:hAnsi="微软雅黑" w:hint="eastAsia"/>
          <w:b/>
        </w:rPr>
        <w:t>告</w:t>
      </w:r>
      <w:r>
        <w:rPr>
          <w:rFonts w:ascii="微软雅黑" w:eastAsia="微软雅黑" w:hAnsi="微软雅黑" w:hint="eastAsia"/>
          <w:b/>
        </w:rPr>
        <w:t xml:space="preserve"> </w:t>
      </w:r>
      <w:r>
        <w:rPr>
          <w:rFonts w:ascii="微软雅黑" w:eastAsia="微软雅黑" w:hAnsi="微软雅黑" w:hint="eastAsia"/>
          <w:b/>
        </w:rPr>
        <w:t>主：</w:t>
      </w:r>
      <w:r>
        <w:rPr>
          <w:rFonts w:ascii="微软雅黑" w:eastAsia="微软雅黑" w:hAnsi="微软雅黑" w:hint="eastAsia"/>
          <w:lang w:eastAsia="zh-Hans"/>
        </w:rPr>
        <w:t>中信银行</w:t>
      </w:r>
    </w:p>
    <w:p w14:paraId="04E8E142" w14:textId="77777777" w:rsidR="00060FE3" w:rsidRDefault="007807C2">
      <w:pPr>
        <w:textAlignment w:val="baseline"/>
        <w:rPr>
          <w:rFonts w:ascii="微软雅黑" w:eastAsia="微软雅黑" w:hAnsi="微软雅黑"/>
          <w:b/>
        </w:rPr>
      </w:pPr>
      <w:r>
        <w:rPr>
          <w:rFonts w:ascii="微软雅黑" w:eastAsia="微软雅黑" w:hAnsi="微软雅黑" w:hint="eastAsia"/>
          <w:b/>
        </w:rPr>
        <w:t>所属行业：</w:t>
      </w:r>
      <w:r>
        <w:rPr>
          <w:rFonts w:ascii="微软雅黑" w:eastAsia="微软雅黑" w:hAnsi="微软雅黑" w:hint="eastAsia"/>
        </w:rPr>
        <w:t>金融业</w:t>
      </w:r>
    </w:p>
    <w:p w14:paraId="75165C77" w14:textId="7A773D54" w:rsidR="00060FE3" w:rsidRDefault="007807C2">
      <w:pPr>
        <w:textAlignment w:val="baseline"/>
        <w:rPr>
          <w:rFonts w:ascii="微软雅黑" w:eastAsia="微软雅黑" w:hAnsi="微软雅黑"/>
          <w:b/>
        </w:rPr>
      </w:pPr>
      <w:r>
        <w:rPr>
          <w:rFonts w:ascii="微软雅黑" w:eastAsia="微软雅黑" w:hAnsi="微软雅黑" w:hint="eastAsia"/>
          <w:b/>
        </w:rPr>
        <w:t>执行时间：</w:t>
      </w:r>
      <w:r>
        <w:rPr>
          <w:rFonts w:ascii="微软雅黑" w:eastAsia="微软雅黑" w:hAnsi="微软雅黑" w:hint="eastAsia"/>
        </w:rPr>
        <w:t>2020</w:t>
      </w:r>
      <w:r w:rsidR="00231337">
        <w:rPr>
          <w:rFonts w:ascii="微软雅黑" w:eastAsia="微软雅黑" w:hAnsi="微软雅黑" w:hint="eastAsia"/>
        </w:rPr>
        <w:t>.</w:t>
      </w:r>
      <w:r>
        <w:rPr>
          <w:rFonts w:ascii="微软雅黑" w:eastAsia="微软雅黑" w:hAnsi="微软雅黑" w:hint="eastAsia"/>
        </w:rPr>
        <w:t>0</w:t>
      </w:r>
      <w:r>
        <w:rPr>
          <w:rFonts w:ascii="微软雅黑" w:eastAsia="微软雅黑" w:hAnsi="微软雅黑"/>
        </w:rPr>
        <w:t>8</w:t>
      </w:r>
      <w:r w:rsidR="00231337">
        <w:rPr>
          <w:rFonts w:ascii="微软雅黑" w:eastAsia="微软雅黑" w:hAnsi="微软雅黑" w:hint="eastAsia"/>
        </w:rPr>
        <w:t xml:space="preserve"> </w:t>
      </w:r>
      <w:r>
        <w:rPr>
          <w:rFonts w:ascii="微软雅黑" w:eastAsia="微软雅黑" w:hAnsi="微软雅黑" w:hint="eastAsia"/>
        </w:rPr>
        <w:t>-2021</w:t>
      </w:r>
      <w:r w:rsidR="00231337">
        <w:rPr>
          <w:rFonts w:ascii="微软雅黑" w:eastAsia="微软雅黑" w:hAnsi="微软雅黑" w:hint="eastAsia"/>
        </w:rPr>
        <w:t>.</w:t>
      </w:r>
      <w:r>
        <w:rPr>
          <w:rFonts w:ascii="微软雅黑" w:eastAsia="微软雅黑" w:hAnsi="微软雅黑" w:hint="eastAsia"/>
        </w:rPr>
        <w:t>12</w:t>
      </w:r>
    </w:p>
    <w:p w14:paraId="75E649F9" w14:textId="0C159B72" w:rsidR="00060FE3" w:rsidRDefault="007807C2">
      <w:pPr>
        <w:spacing w:after="240"/>
        <w:textAlignment w:val="baseline"/>
        <w:rPr>
          <w:rFonts w:ascii="微软雅黑" w:eastAsia="微软雅黑" w:hAnsi="微软雅黑"/>
        </w:rPr>
      </w:pPr>
      <w:r>
        <w:rPr>
          <w:rFonts w:ascii="微软雅黑" w:eastAsia="微软雅黑" w:hAnsi="微软雅黑" w:hint="eastAsia"/>
          <w:b/>
        </w:rPr>
        <w:t>参选类别：</w:t>
      </w:r>
      <w:r w:rsidR="00231337" w:rsidRPr="00231337">
        <w:rPr>
          <w:rFonts w:ascii="微软雅黑" w:eastAsia="微软雅黑" w:hAnsi="微软雅黑" w:hint="eastAsia"/>
          <w:bCs/>
        </w:rPr>
        <w:t>移动营销类</w:t>
      </w:r>
    </w:p>
    <w:p w14:paraId="4732DD0F" w14:textId="77777777" w:rsidR="00060FE3" w:rsidRDefault="007807C2" w:rsidP="00231337">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营销背景</w:t>
      </w:r>
    </w:p>
    <w:p w14:paraId="055769B6" w14:textId="77777777" w:rsidR="00060FE3" w:rsidRDefault="007807C2" w:rsidP="00231337">
      <w:pPr>
        <w:spacing w:before="100" w:beforeAutospacing="1" w:after="100" w:afterAutospacing="1"/>
        <w:textAlignment w:val="baseline"/>
        <w:rPr>
          <w:rFonts w:ascii="微软雅黑" w:eastAsia="微软雅黑" w:hAnsi="微软雅黑"/>
          <w:lang w:eastAsia="zh-Hans"/>
        </w:rPr>
      </w:pPr>
      <w:r>
        <w:rPr>
          <w:rFonts w:ascii="微软雅黑" w:eastAsia="微软雅黑" w:hAnsi="微软雅黑" w:hint="eastAsia"/>
        </w:rPr>
        <w:t>流量经营是银行针对客群进行数字化经营的起点。鉴于银行流量渠道分散、数字化程度低、缺乏运营方法的现状，</w:t>
      </w:r>
      <w:r>
        <w:rPr>
          <w:rFonts w:ascii="微软雅黑" w:eastAsia="微软雅黑" w:hAnsi="微软雅黑" w:hint="eastAsia"/>
          <w:lang w:eastAsia="zh-Hans"/>
        </w:rPr>
        <w:t>中信银行希望</w:t>
      </w:r>
      <w:r>
        <w:rPr>
          <w:rFonts w:ascii="微软雅黑" w:eastAsia="微软雅黑" w:hAnsi="微软雅黑" w:hint="eastAsia"/>
        </w:rPr>
        <w:t>围绕获客这一核心目标，建立“潜客－新客－活跃新客”的三阶段运营策略</w:t>
      </w:r>
      <w:r>
        <w:rPr>
          <w:rFonts w:ascii="微软雅黑" w:eastAsia="微软雅黑" w:hAnsi="微软雅黑" w:hint="eastAsia"/>
          <w:lang w:eastAsia="zh-Hans"/>
        </w:rPr>
        <w:t>。</w:t>
      </w:r>
    </w:p>
    <w:p w14:paraId="057F15C1"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lang w:eastAsia="zh-Hans"/>
        </w:rPr>
        <w:t>互联网金融头部企业在互动玩法上有许多可学习借鉴的先例，</w:t>
      </w:r>
      <w:r>
        <w:rPr>
          <w:rFonts w:ascii="微软雅黑" w:eastAsia="微软雅黑" w:hAnsi="微软雅黑" w:hint="eastAsia"/>
        </w:rPr>
        <w:t>如支付宝通过打造“蚂蚁森林”，为用户提供“攒能量”做公益的互动玩法，同时在互动过程中介绍金融知识，帮助用户了解线上办理缴费、购买理财的优势，完成了产品、服务的“种草”。</w:t>
      </w:r>
    </w:p>
    <w:p w14:paraId="772CFB1E" w14:textId="1BBFE268" w:rsidR="00060FE3" w:rsidRPr="00231337" w:rsidRDefault="007807C2" w:rsidP="00231337">
      <w:pPr>
        <w:spacing w:before="100" w:beforeAutospacing="1" w:after="100" w:afterAutospacing="1"/>
        <w:textAlignment w:val="baseline"/>
        <w:rPr>
          <w:rFonts w:ascii="微软雅黑" w:eastAsia="微软雅黑" w:hAnsi="微软雅黑" w:hint="eastAsia"/>
          <w:lang w:eastAsia="zh-Hans"/>
        </w:rPr>
      </w:pPr>
      <w:r>
        <w:rPr>
          <w:rFonts w:ascii="微软雅黑" w:eastAsia="微软雅黑" w:hAnsi="微软雅黑" w:hint="eastAsia"/>
          <w:lang w:eastAsia="zh-Hans"/>
        </w:rPr>
        <w:t>通过这些优秀案例的成功，传统银行意识到搭建起金融场景加非金融场景的金融生态成为传统银行数字转型的当务之急。</w:t>
      </w:r>
    </w:p>
    <w:p w14:paraId="13AA9CB8"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color w:val="0000FF"/>
          <w:sz w:val="28"/>
          <w:szCs w:val="24"/>
        </w:rPr>
        <w:t>营销目标</w:t>
      </w:r>
    </w:p>
    <w:p w14:paraId="40F95A86" w14:textId="2B5D614F" w:rsidR="00060FE3" w:rsidRDefault="007807C2" w:rsidP="00231337">
      <w:pPr>
        <w:spacing w:before="100" w:beforeAutospacing="1" w:after="100" w:afterAutospacing="1"/>
        <w:textAlignment w:val="baseline"/>
        <w:rPr>
          <w:rFonts w:ascii="微软雅黑" w:eastAsia="微软雅黑" w:hAnsi="微软雅黑" w:hint="eastAsia"/>
          <w:lang w:eastAsia="zh-Hans"/>
        </w:rPr>
      </w:pPr>
      <w:r>
        <w:rPr>
          <w:rFonts w:ascii="微软雅黑" w:eastAsia="微软雅黑" w:hAnsi="微软雅黑" w:hint="eastAsia"/>
          <w:lang w:eastAsia="zh-Hans"/>
        </w:rPr>
        <w:t>中信银行希望通过</w:t>
      </w:r>
      <w:r>
        <w:rPr>
          <w:rFonts w:ascii="微软雅黑" w:eastAsia="微软雅黑" w:hAnsi="微软雅黑" w:hint="eastAsia"/>
          <w:lang w:eastAsia="zh-Hans"/>
        </w:rPr>
        <w:t>“</w:t>
      </w:r>
      <w:r>
        <w:rPr>
          <w:rFonts w:ascii="微软雅黑" w:eastAsia="微软雅黑" w:hAnsi="微软雅黑" w:hint="eastAsia"/>
          <w:lang w:eastAsia="zh-Hans"/>
        </w:rPr>
        <w:t>信小狮</w:t>
      </w:r>
      <w:r>
        <w:rPr>
          <w:rFonts w:ascii="微软雅黑" w:eastAsia="微软雅黑" w:hAnsi="微软雅黑" w:hint="eastAsia"/>
          <w:lang w:eastAsia="zh-Hans"/>
        </w:rPr>
        <w:t>”</w:t>
      </w:r>
      <w:r>
        <w:rPr>
          <w:rFonts w:ascii="微软雅黑" w:eastAsia="微软雅黑" w:hAnsi="微软雅黑" w:hint="eastAsia"/>
          <w:lang w:eastAsia="zh-Hans"/>
        </w:rPr>
        <w:t>IP</w:t>
      </w:r>
      <w:r>
        <w:rPr>
          <w:rFonts w:ascii="微软雅黑" w:eastAsia="微软雅黑" w:hAnsi="微软雅黑" w:hint="eastAsia"/>
          <w:lang w:eastAsia="zh-Hans"/>
        </w:rPr>
        <w:t>，搭建起“云养信小狮”的养成活动，通过萌狮旅行七大洲，带回旅行礼品的故事化场景，提升中信</w:t>
      </w:r>
      <w:r>
        <w:rPr>
          <w:rFonts w:ascii="微软雅黑" w:eastAsia="微软雅黑" w:hAnsi="微软雅黑" w:hint="eastAsia"/>
          <w:lang w:eastAsia="zh-Hans"/>
        </w:rPr>
        <w:t>APP</w:t>
      </w:r>
      <w:r>
        <w:rPr>
          <w:rFonts w:ascii="微软雅黑" w:eastAsia="微软雅黑" w:hAnsi="微软雅黑" w:hint="eastAsia"/>
          <w:lang w:eastAsia="zh-Hans"/>
        </w:rPr>
        <w:t>用户的体验、活跃和留存。</w:t>
      </w:r>
    </w:p>
    <w:p w14:paraId="3912ACF5" w14:textId="77777777" w:rsidR="00060FE3" w:rsidRDefault="007807C2" w:rsidP="00231337">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策略与创意</w:t>
      </w:r>
    </w:p>
    <w:p w14:paraId="43DA7026" w14:textId="386AF003" w:rsidR="00060FE3" w:rsidRDefault="007807C2" w:rsidP="00231337">
      <w:pPr>
        <w:spacing w:before="100" w:beforeAutospacing="1" w:after="100" w:afterAutospacing="1"/>
        <w:textAlignment w:val="baseline"/>
        <w:rPr>
          <w:rFonts w:ascii="微软雅黑" w:eastAsia="微软雅黑" w:hAnsi="微软雅黑" w:hint="eastAsia"/>
        </w:rPr>
      </w:pPr>
      <w:r>
        <w:rPr>
          <w:rFonts w:ascii="微软雅黑" w:eastAsia="微软雅黑" w:hAnsi="微软雅黑" w:hint="eastAsia"/>
        </w:rPr>
        <w:t>在</w:t>
      </w:r>
      <w:r>
        <w:rPr>
          <w:rFonts w:ascii="微软雅黑" w:eastAsia="微软雅黑" w:hAnsi="微软雅黑" w:hint="eastAsia"/>
        </w:rPr>
        <w:t>APP</w:t>
      </w:r>
      <w:r>
        <w:rPr>
          <w:rFonts w:ascii="微软雅黑" w:eastAsia="微软雅黑" w:hAnsi="微软雅黑" w:hint="eastAsia"/>
        </w:rPr>
        <w:t>中搭建</w:t>
      </w:r>
      <w:r>
        <w:rPr>
          <w:rFonts w:ascii="微软雅黑" w:eastAsia="微软雅黑" w:hAnsi="微软雅黑" w:hint="eastAsia"/>
          <w:lang w:eastAsia="zh-Hans"/>
        </w:rPr>
        <w:t>养成</w:t>
      </w:r>
      <w:r>
        <w:rPr>
          <w:rFonts w:ascii="微软雅黑" w:eastAsia="微软雅黑" w:hAnsi="微软雅黑" w:hint="eastAsia"/>
        </w:rPr>
        <w:t>游戏场景</w:t>
      </w:r>
      <w:r>
        <w:rPr>
          <w:rFonts w:ascii="微软雅黑" w:eastAsia="微软雅黑" w:hAnsi="微软雅黑" w:hint="eastAsia"/>
        </w:rPr>
        <w:t>-</w:t>
      </w:r>
      <w:r>
        <w:rPr>
          <w:rFonts w:ascii="微软雅黑" w:eastAsia="微软雅黑" w:hAnsi="微软雅黑" w:hint="eastAsia"/>
          <w:lang w:eastAsia="zh-Hans"/>
        </w:rPr>
        <w:t>云养信小狮</w:t>
      </w:r>
      <w:r>
        <w:rPr>
          <w:rFonts w:ascii="微软雅黑" w:eastAsia="微软雅黑" w:hAnsi="微软雅黑" w:hint="eastAsia"/>
        </w:rPr>
        <w:t>，以</w:t>
      </w:r>
      <w:r>
        <w:rPr>
          <w:rFonts w:ascii="微软雅黑" w:eastAsia="微软雅黑" w:hAnsi="微软雅黑" w:hint="eastAsia"/>
          <w:lang w:eastAsia="zh-Hans"/>
        </w:rPr>
        <w:t>旅行</w:t>
      </w:r>
      <w:r>
        <w:rPr>
          <w:rFonts w:ascii="微软雅黑" w:eastAsia="微软雅黑" w:hAnsi="微软雅黑" w:hint="eastAsia"/>
        </w:rPr>
        <w:t>赚取</w:t>
      </w:r>
      <w:r>
        <w:rPr>
          <w:rFonts w:ascii="微软雅黑" w:eastAsia="微软雅黑" w:hAnsi="微软雅黑" w:hint="eastAsia"/>
          <w:lang w:eastAsia="zh-Hans"/>
        </w:rPr>
        <w:t>旅行币</w:t>
      </w:r>
      <w:r>
        <w:rPr>
          <w:rFonts w:ascii="微软雅黑" w:eastAsia="微软雅黑" w:hAnsi="微软雅黑" w:hint="eastAsia"/>
        </w:rPr>
        <w:t>为</w:t>
      </w:r>
      <w:r>
        <w:rPr>
          <w:rFonts w:ascii="微软雅黑" w:eastAsia="微软雅黑" w:hAnsi="微软雅黑" w:hint="eastAsia"/>
        </w:rPr>
        <w:t>主流程，而后通过</w:t>
      </w:r>
      <w:r>
        <w:rPr>
          <w:rFonts w:ascii="微软雅黑" w:eastAsia="微软雅黑" w:hAnsi="微软雅黑" w:hint="eastAsia"/>
          <w:lang w:eastAsia="zh-Hans"/>
        </w:rPr>
        <w:t>旅行币兑换奖品</w:t>
      </w:r>
      <w:r>
        <w:rPr>
          <w:rFonts w:ascii="微软雅黑" w:eastAsia="微软雅黑" w:hAnsi="微软雅黑"/>
          <w:lang w:eastAsia="zh-Hans"/>
        </w:rPr>
        <w:t>/</w:t>
      </w:r>
      <w:r>
        <w:rPr>
          <w:rFonts w:ascii="微软雅黑" w:eastAsia="微软雅黑" w:hAnsi="微软雅黑" w:hint="eastAsia"/>
          <w:lang w:eastAsia="zh-Hans"/>
        </w:rPr>
        <w:t>参与活动</w:t>
      </w:r>
      <w:r>
        <w:rPr>
          <w:rFonts w:ascii="微软雅黑" w:eastAsia="微软雅黑" w:hAnsi="微软雅黑" w:hint="eastAsia"/>
        </w:rPr>
        <w:t>消耗</w:t>
      </w:r>
      <w:r>
        <w:rPr>
          <w:rFonts w:ascii="微软雅黑" w:eastAsia="微软雅黑" w:hAnsi="微软雅黑" w:hint="eastAsia"/>
          <w:lang w:eastAsia="zh-Hans"/>
        </w:rPr>
        <w:t>旅行币</w:t>
      </w:r>
      <w:r>
        <w:rPr>
          <w:rFonts w:ascii="微软雅黑" w:eastAsia="微软雅黑" w:hAnsi="微软雅黑" w:hint="eastAsia"/>
        </w:rPr>
        <w:t>形成良性循环，提升用户在非金融场景外打开</w:t>
      </w:r>
      <w:r>
        <w:rPr>
          <w:rFonts w:ascii="微软雅黑" w:eastAsia="微软雅黑" w:hAnsi="微软雅黑" w:hint="eastAsia"/>
          <w:lang w:eastAsia="zh-Hans"/>
        </w:rPr>
        <w:t>中信银行</w:t>
      </w:r>
      <w:r>
        <w:rPr>
          <w:rFonts w:ascii="微软雅黑" w:eastAsia="微软雅黑" w:hAnsi="微软雅黑" w:hint="eastAsia"/>
          <w:lang w:eastAsia="zh-Hans"/>
        </w:rPr>
        <w:t>APP</w:t>
      </w:r>
      <w:r>
        <w:rPr>
          <w:rFonts w:ascii="微软雅黑" w:eastAsia="微软雅黑" w:hAnsi="微软雅黑" w:hint="eastAsia"/>
        </w:rPr>
        <w:t>的动力。</w:t>
      </w:r>
    </w:p>
    <w:p w14:paraId="2E0D47DC" w14:textId="77777777" w:rsidR="00060FE3" w:rsidRDefault="007807C2" w:rsidP="00231337">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执行过程</w:t>
      </w:r>
      <w:r>
        <w:rPr>
          <w:rFonts w:ascii="微软雅黑" w:eastAsia="微软雅黑" w:hAnsi="微软雅黑" w:hint="eastAsia"/>
          <w:b/>
          <w:color w:val="0000FF"/>
          <w:sz w:val="28"/>
          <w:szCs w:val="24"/>
        </w:rPr>
        <w:t>/</w:t>
      </w:r>
      <w:r>
        <w:rPr>
          <w:rFonts w:ascii="微软雅黑" w:eastAsia="微软雅黑" w:hAnsi="微软雅黑" w:hint="eastAsia"/>
          <w:b/>
          <w:color w:val="0000FF"/>
          <w:sz w:val="28"/>
          <w:szCs w:val="24"/>
        </w:rPr>
        <w:t>媒体表现</w:t>
      </w:r>
    </w:p>
    <w:p w14:paraId="4E8A8588" w14:textId="77777777" w:rsidR="00060FE3" w:rsidRDefault="007807C2" w:rsidP="00231337">
      <w:pPr>
        <w:pStyle w:val="10"/>
        <w:numPr>
          <w:ilvl w:val="0"/>
          <w:numId w:val="4"/>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用户研究阶段</w:t>
      </w:r>
    </w:p>
    <w:p w14:paraId="33319E9B"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采用多种研究方法结合，明确用户画像和喜好</w:t>
      </w:r>
    </w:p>
    <w:p w14:paraId="119E5EE0"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noProof/>
        </w:rPr>
        <w:lastRenderedPageBreak/>
        <w:drawing>
          <wp:inline distT="0" distB="0" distL="0" distR="0" wp14:anchorId="7381F957" wp14:editId="5C47639B">
            <wp:extent cx="5720715" cy="3075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720715" cy="3075940"/>
                    </a:xfrm>
                    <a:prstGeom prst="rect">
                      <a:avLst/>
                    </a:prstGeom>
                  </pic:spPr>
                </pic:pic>
              </a:graphicData>
            </a:graphic>
          </wp:inline>
        </w:drawing>
      </w:r>
    </w:p>
    <w:p w14:paraId="03AA848E" w14:textId="77777777" w:rsidR="00060FE3" w:rsidRDefault="007807C2" w:rsidP="00231337">
      <w:pPr>
        <w:pStyle w:val="10"/>
        <w:numPr>
          <w:ilvl w:val="0"/>
          <w:numId w:val="4"/>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设计解决方案</w:t>
      </w:r>
    </w:p>
    <w:p w14:paraId="3FABF282"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创新运营模式分析</w:t>
      </w:r>
    </w:p>
    <w:p w14:paraId="40E91768" w14:textId="79867489" w:rsidR="00060FE3" w:rsidRDefault="007807C2" w:rsidP="00231337">
      <w:pPr>
        <w:spacing w:before="100" w:beforeAutospacing="1" w:after="100" w:afterAutospacing="1"/>
        <w:textAlignment w:val="baseline"/>
        <w:rPr>
          <w:rFonts w:ascii="微软雅黑" w:eastAsia="微软雅黑" w:hAnsi="微软雅黑" w:hint="eastAsia"/>
          <w:lang w:eastAsia="zh-Hans"/>
        </w:rPr>
      </w:pPr>
      <w:r>
        <w:rPr>
          <w:rFonts w:ascii="微软雅黑" w:eastAsia="微软雅黑" w:hAnsi="微软雅黑" w:hint="eastAsia"/>
          <w:lang w:eastAsia="zh-Hans"/>
        </w:rPr>
        <w:t>通过分析招商银行、拼多多、支付宝、淘宝、饿了么、百度等头部企业的创新运营模式，宁波银行从互动养成入手，覆盖各年龄圈层用户。</w:t>
      </w:r>
    </w:p>
    <w:p w14:paraId="63C89DBB" w14:textId="3631969E" w:rsidR="00060FE3" w:rsidRDefault="007807C2" w:rsidP="00231337">
      <w:pPr>
        <w:spacing w:before="100" w:beforeAutospacing="1" w:after="100" w:afterAutospacing="1"/>
        <w:textAlignment w:val="baseline"/>
        <w:rPr>
          <w:rFonts w:ascii="微软雅黑" w:eastAsia="微软雅黑" w:hAnsi="微软雅黑" w:hint="eastAsia"/>
        </w:rPr>
      </w:pPr>
      <w:r>
        <w:rPr>
          <w:rFonts w:ascii="微软雅黑" w:eastAsia="微软雅黑" w:hAnsi="微软雅黑"/>
          <w:noProof/>
        </w:rPr>
        <w:drawing>
          <wp:inline distT="0" distB="0" distL="0" distR="0" wp14:anchorId="39C52BD1" wp14:editId="5C2ECA17">
            <wp:extent cx="5720715" cy="28111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720715" cy="2811145"/>
                    </a:xfrm>
                    <a:prstGeom prst="rect">
                      <a:avLst/>
                    </a:prstGeom>
                  </pic:spPr>
                </pic:pic>
              </a:graphicData>
            </a:graphic>
          </wp:inline>
        </w:drawing>
      </w:r>
    </w:p>
    <w:p w14:paraId="26E4E7EA" w14:textId="276C0623" w:rsidR="00060FE3" w:rsidRDefault="007807C2" w:rsidP="00231337">
      <w:pPr>
        <w:spacing w:before="100" w:beforeAutospacing="1" w:after="100" w:afterAutospacing="1"/>
        <w:textAlignment w:val="baseline"/>
        <w:rPr>
          <w:rFonts w:ascii="微软雅黑" w:eastAsia="微软雅黑" w:hAnsi="微软雅黑" w:hint="eastAsia"/>
        </w:rPr>
      </w:pPr>
      <w:r>
        <w:rPr>
          <w:rFonts w:ascii="微软雅黑" w:eastAsia="微软雅黑" w:hAnsi="微软雅黑"/>
          <w:noProof/>
        </w:rPr>
        <w:lastRenderedPageBreak/>
        <w:drawing>
          <wp:inline distT="0" distB="0" distL="0" distR="0" wp14:anchorId="0A0BB40B" wp14:editId="7E06BBBF">
            <wp:extent cx="5720715" cy="29921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720715" cy="2992120"/>
                    </a:xfrm>
                    <a:prstGeom prst="rect">
                      <a:avLst/>
                    </a:prstGeom>
                  </pic:spPr>
                </pic:pic>
              </a:graphicData>
            </a:graphic>
          </wp:inline>
        </w:drawing>
      </w:r>
    </w:p>
    <w:p w14:paraId="36A1CC2F"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解决方案设计</w:t>
      </w:r>
    </w:p>
    <w:p w14:paraId="6E324D5B" w14:textId="76344547" w:rsidR="00060FE3" w:rsidRDefault="007807C2" w:rsidP="00231337">
      <w:pPr>
        <w:spacing w:before="100" w:beforeAutospacing="1" w:after="100" w:afterAutospacing="1"/>
        <w:textAlignment w:val="baseline"/>
        <w:rPr>
          <w:rFonts w:ascii="微软雅黑" w:eastAsia="微软雅黑" w:hAnsi="微软雅黑" w:hint="eastAsia"/>
        </w:rPr>
      </w:pPr>
      <w:r>
        <w:rPr>
          <w:noProof/>
        </w:rPr>
        <w:drawing>
          <wp:inline distT="0" distB="0" distL="114300" distR="114300" wp14:anchorId="635D7F9A" wp14:editId="14F52278">
            <wp:extent cx="5720715" cy="3172460"/>
            <wp:effectExtent l="0" t="0" r="19685"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rcRect t="10450"/>
                    <a:stretch>
                      <a:fillRect/>
                    </a:stretch>
                  </pic:blipFill>
                  <pic:spPr>
                    <a:xfrm>
                      <a:off x="0" y="0"/>
                      <a:ext cx="5720715" cy="3172460"/>
                    </a:xfrm>
                    <a:prstGeom prst="rect">
                      <a:avLst/>
                    </a:prstGeom>
                    <a:noFill/>
                    <a:ln w="9525">
                      <a:noFill/>
                    </a:ln>
                  </pic:spPr>
                </pic:pic>
              </a:graphicData>
            </a:graphic>
          </wp:inline>
        </w:drawing>
      </w:r>
    </w:p>
    <w:p w14:paraId="1ACE86AF"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落地效果保障</w:t>
      </w:r>
    </w:p>
    <w:p w14:paraId="0011AD56" w14:textId="77777777" w:rsidR="00060FE3" w:rsidRDefault="007807C2" w:rsidP="00231337">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项目人员组件成直线项目组形式，包含产品、运营、设计、技术开发，实行每日日会、周会制度，做到快速响应</w:t>
      </w:r>
    </w:p>
    <w:p w14:paraId="241AE9F8" w14:textId="76BA7151" w:rsidR="00060FE3" w:rsidRPr="00231337" w:rsidRDefault="007807C2" w:rsidP="00231337">
      <w:pPr>
        <w:pStyle w:val="10"/>
        <w:numPr>
          <w:ilvl w:val="0"/>
          <w:numId w:val="3"/>
        </w:numPr>
        <w:spacing w:before="100" w:beforeAutospacing="1" w:after="100" w:afterAutospacing="1"/>
        <w:ind w:firstLineChars="0"/>
        <w:textAlignment w:val="baseline"/>
        <w:rPr>
          <w:rFonts w:ascii="微软雅黑" w:eastAsia="微软雅黑" w:hAnsi="微软雅黑" w:hint="eastAsia"/>
        </w:rPr>
      </w:pPr>
      <w:r>
        <w:rPr>
          <w:rFonts w:ascii="微软雅黑" w:eastAsia="微软雅黑" w:hAnsi="微软雅黑" w:hint="eastAsia"/>
        </w:rPr>
        <w:t>项目上线后，通过竞品分析、用户调研以及数据分析／</w:t>
      </w:r>
      <w:r>
        <w:rPr>
          <w:rFonts w:ascii="微软雅黑" w:eastAsia="微软雅黑" w:hAnsi="微软雅黑" w:hint="eastAsia"/>
        </w:rPr>
        <w:t>AB</w:t>
      </w:r>
      <w:r>
        <w:rPr>
          <w:rFonts w:ascii="微软雅黑" w:eastAsia="微软雅黑" w:hAnsi="微软雅黑" w:hint="eastAsia"/>
        </w:rPr>
        <w:t>测试，不断指导方案迭代</w:t>
      </w:r>
    </w:p>
    <w:p w14:paraId="378E8DF6" w14:textId="77777777" w:rsidR="00060FE3" w:rsidRDefault="007807C2" w:rsidP="00231337">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w:t>
      </w:r>
      <w:r>
        <w:rPr>
          <w:rFonts w:ascii="微软雅黑" w:eastAsia="微软雅黑" w:hAnsi="微软雅黑" w:hint="eastAsia"/>
          <w:b/>
          <w:color w:val="0000FF"/>
          <w:sz w:val="28"/>
          <w:szCs w:val="24"/>
        </w:rPr>
        <w:t>销效果与市场反馈</w:t>
      </w:r>
    </w:p>
    <w:p w14:paraId="72E8D90D"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1</w:t>
      </w:r>
      <w:r>
        <w:rPr>
          <w:rFonts w:ascii="微软雅黑" w:eastAsia="微软雅黑" w:hAnsi="微软雅黑" w:hint="eastAsia"/>
        </w:rPr>
        <w:t>、活动解决了中信对日活与月活的任务指标，活动参与用户数达到</w:t>
      </w:r>
      <w:r>
        <w:rPr>
          <w:rFonts w:ascii="微软雅黑" w:eastAsia="微软雅黑" w:hAnsi="微软雅黑" w:hint="eastAsia"/>
        </w:rPr>
        <w:t>14</w:t>
      </w:r>
      <w:r>
        <w:rPr>
          <w:rFonts w:ascii="微软雅黑" w:eastAsia="微软雅黑" w:hAnsi="微软雅黑" w:hint="eastAsia"/>
        </w:rPr>
        <w:t>万人，活动曝光量达到</w:t>
      </w:r>
      <w:r>
        <w:rPr>
          <w:rFonts w:ascii="微软雅黑" w:eastAsia="微软雅黑" w:hAnsi="微软雅黑" w:hint="eastAsia"/>
        </w:rPr>
        <w:t>560</w:t>
      </w:r>
      <w:r>
        <w:rPr>
          <w:rFonts w:ascii="微软雅黑" w:eastAsia="微软雅黑" w:hAnsi="微软雅黑" w:hint="eastAsia"/>
        </w:rPr>
        <w:t>万人次；近半个月的活动参率与达到</w:t>
      </w:r>
      <w:r>
        <w:rPr>
          <w:rFonts w:ascii="微软雅黑" w:eastAsia="微软雅黑" w:hAnsi="微软雅黑" w:hint="eastAsia"/>
        </w:rPr>
        <w:t>78%</w:t>
      </w:r>
      <w:r>
        <w:rPr>
          <w:rFonts w:ascii="微软雅黑" w:eastAsia="微软雅黑" w:hAnsi="微软雅黑" w:hint="eastAsia"/>
        </w:rPr>
        <w:t>，分享率达到</w:t>
      </w:r>
      <w:r>
        <w:rPr>
          <w:rFonts w:ascii="微软雅黑" w:eastAsia="微软雅黑" w:hAnsi="微软雅黑" w:hint="eastAsia"/>
        </w:rPr>
        <w:t>51%</w:t>
      </w:r>
      <w:r>
        <w:rPr>
          <w:rFonts w:ascii="微软雅黑" w:eastAsia="微软雅黑" w:hAnsi="微软雅黑" w:hint="eastAsia"/>
        </w:rPr>
        <w:t>，并覆盖了</w:t>
      </w:r>
      <w:r>
        <w:rPr>
          <w:rFonts w:ascii="微软雅黑" w:eastAsia="微软雅黑" w:hAnsi="微软雅黑" w:hint="eastAsia"/>
        </w:rPr>
        <w:t>60</w:t>
      </w:r>
      <w:r>
        <w:rPr>
          <w:rFonts w:ascii="微软雅黑" w:eastAsia="微软雅黑" w:hAnsi="微软雅黑" w:hint="eastAsia"/>
        </w:rPr>
        <w:t>后—</w:t>
      </w:r>
      <w:r>
        <w:rPr>
          <w:rFonts w:ascii="微软雅黑" w:eastAsia="微软雅黑" w:hAnsi="微软雅黑" w:hint="eastAsia"/>
        </w:rPr>
        <w:t>00</w:t>
      </w:r>
      <w:r>
        <w:rPr>
          <w:rFonts w:ascii="微软雅黑" w:eastAsia="微软雅黑" w:hAnsi="微软雅黑" w:hint="eastAsia"/>
        </w:rPr>
        <w:t>后的全部客群，</w:t>
      </w:r>
      <w:r>
        <w:rPr>
          <w:rFonts w:ascii="微软雅黑" w:eastAsia="微软雅黑" w:hAnsi="微软雅黑" w:hint="eastAsia"/>
        </w:rPr>
        <w:lastRenderedPageBreak/>
        <w:t>更接近“国民”活动。</w:t>
      </w:r>
    </w:p>
    <w:p w14:paraId="69DBBAE3"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2</w:t>
      </w:r>
      <w:r>
        <w:rPr>
          <w:rFonts w:ascii="微软雅黑" w:eastAsia="微软雅黑" w:hAnsi="微软雅黑" w:hint="eastAsia"/>
        </w:rPr>
        <w:t>、支线消耗旅行币活动参与达到</w:t>
      </w:r>
      <w:r>
        <w:rPr>
          <w:rFonts w:ascii="微软雅黑" w:eastAsia="微软雅黑" w:hAnsi="微软雅黑" w:hint="eastAsia"/>
        </w:rPr>
        <w:t>90%</w:t>
      </w:r>
      <w:r>
        <w:rPr>
          <w:rFonts w:ascii="微软雅黑" w:eastAsia="微软雅黑" w:hAnsi="微软雅黑" w:hint="eastAsia"/>
        </w:rPr>
        <w:t>，刺激用户参与的同时，更好的完成了银行年末指标。</w:t>
      </w:r>
    </w:p>
    <w:p w14:paraId="2D9D7759"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3</w:t>
      </w:r>
      <w:r>
        <w:rPr>
          <w:rFonts w:ascii="微软雅黑" w:eastAsia="微软雅黑" w:hAnsi="微软雅黑" w:hint="eastAsia"/>
        </w:rPr>
        <w:t>、通过养成活动使</w:t>
      </w:r>
      <w:r>
        <w:rPr>
          <w:rFonts w:ascii="微软雅黑" w:eastAsia="微软雅黑" w:hAnsi="微软雅黑" w:hint="eastAsia"/>
        </w:rPr>
        <w:t>AP</w:t>
      </w:r>
      <w:r>
        <w:rPr>
          <w:rFonts w:ascii="微软雅黑" w:eastAsia="微软雅黑" w:hAnsi="微软雅黑" w:hint="eastAsia"/>
        </w:rPr>
        <w:t>P</w:t>
      </w:r>
      <w:r>
        <w:rPr>
          <w:rFonts w:ascii="微软雅黑" w:eastAsia="微软雅黑" w:hAnsi="微软雅黑" w:hint="eastAsia"/>
        </w:rPr>
        <w:t>周留存增加</w:t>
      </w:r>
      <w:r>
        <w:rPr>
          <w:rFonts w:ascii="微软雅黑" w:eastAsia="微软雅黑" w:hAnsi="微软雅黑" w:hint="eastAsia"/>
        </w:rPr>
        <w:t>6%</w:t>
      </w:r>
      <w:r>
        <w:rPr>
          <w:rFonts w:ascii="微软雅黑" w:eastAsia="微软雅黑" w:hAnsi="微软雅黑" w:hint="eastAsia"/>
        </w:rPr>
        <w:t>。</w:t>
      </w:r>
    </w:p>
    <w:p w14:paraId="0CF865DB"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4</w:t>
      </w:r>
      <w:r>
        <w:rPr>
          <w:rFonts w:ascii="微软雅黑" w:eastAsia="微软雅黑" w:hAnsi="微软雅黑" w:hint="eastAsia"/>
        </w:rPr>
        <w:t>、通过任务中桥面的设置问卷，确认了参与活动的用户画像，并且支线活动根据该画像做了优化，使活动参与用户翻了</w:t>
      </w:r>
      <w:r>
        <w:rPr>
          <w:rFonts w:ascii="微软雅黑" w:eastAsia="微软雅黑" w:hAnsi="微软雅黑" w:hint="eastAsia"/>
        </w:rPr>
        <w:t>3-4</w:t>
      </w:r>
      <w:r>
        <w:rPr>
          <w:rFonts w:ascii="微软雅黑" w:eastAsia="微软雅黑" w:hAnsi="微软雅黑" w:hint="eastAsia"/>
        </w:rPr>
        <w:t>倍。</w:t>
      </w:r>
    </w:p>
    <w:p w14:paraId="306831D7"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5</w:t>
      </w:r>
      <w:r>
        <w:rPr>
          <w:rFonts w:ascii="微软雅黑" w:eastAsia="微软雅黑" w:hAnsi="微软雅黑" w:hint="eastAsia"/>
        </w:rPr>
        <w:t>、通过用户“以小博大”“押宝得奖”的心理，上线了旅行币押宝活动，达到了参与率</w:t>
      </w:r>
      <w:r>
        <w:rPr>
          <w:rFonts w:ascii="微软雅黑" w:eastAsia="微软雅黑" w:hAnsi="微软雅黑" w:hint="eastAsia"/>
        </w:rPr>
        <w:t>91.8%</w:t>
      </w:r>
      <w:r>
        <w:rPr>
          <w:rFonts w:ascii="微软雅黑" w:eastAsia="微软雅黑" w:hAnsi="微软雅黑" w:hint="eastAsia"/>
        </w:rPr>
        <w:t>的活动效果。</w:t>
      </w:r>
    </w:p>
    <w:p w14:paraId="284CD02F"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6</w:t>
      </w:r>
      <w:r>
        <w:rPr>
          <w:rFonts w:ascii="微软雅黑" w:eastAsia="微软雅黑" w:hAnsi="微软雅黑" w:hint="eastAsia"/>
        </w:rPr>
        <w:t>、通过用户损失规避的心理与完整的支线活动流程，上线了国庆红包雨活动，达到了用户参与数相比日常翻</w:t>
      </w:r>
      <w:r>
        <w:rPr>
          <w:rFonts w:ascii="微软雅黑" w:eastAsia="微软雅黑" w:hAnsi="微软雅黑" w:hint="eastAsia"/>
        </w:rPr>
        <w:t>10</w:t>
      </w:r>
      <w:r>
        <w:rPr>
          <w:rFonts w:ascii="微软雅黑" w:eastAsia="微软雅黑" w:hAnsi="微软雅黑" w:hint="eastAsia"/>
        </w:rPr>
        <w:t>倍的活动效果。</w:t>
      </w:r>
    </w:p>
    <w:p w14:paraId="25DB7511" w14:textId="77777777" w:rsidR="00060FE3" w:rsidRDefault="007807C2" w:rsidP="00231337">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7</w:t>
      </w:r>
      <w:r>
        <w:rPr>
          <w:rFonts w:ascii="微软雅黑" w:eastAsia="微软雅黑" w:hAnsi="微软雅黑" w:hint="eastAsia"/>
        </w:rPr>
        <w:t>、通过设置翻倍玩法，达成了银行月末冲刺阶段的动效指标。</w:t>
      </w:r>
    </w:p>
    <w:p w14:paraId="640D7658" w14:textId="699A30ED" w:rsidR="00060FE3" w:rsidRDefault="00060FE3">
      <w:pPr>
        <w:pStyle w:val="10"/>
        <w:ind w:left="420" w:firstLineChars="0" w:firstLine="0"/>
        <w:rPr>
          <w:rFonts w:ascii="微软雅黑" w:eastAsia="微软雅黑" w:hAnsi="微软雅黑"/>
          <w:color w:val="FF0000"/>
          <w:szCs w:val="21"/>
        </w:rPr>
      </w:pPr>
    </w:p>
    <w:sectPr w:rsidR="00060FE3">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B560A" w14:textId="77777777" w:rsidR="007807C2" w:rsidRDefault="007807C2">
      <w:r>
        <w:separator/>
      </w:r>
    </w:p>
  </w:endnote>
  <w:endnote w:type="continuationSeparator" w:id="0">
    <w:p w14:paraId="020324CE" w14:textId="77777777" w:rsidR="007807C2" w:rsidRDefault="00780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CDBEF" w14:textId="77777777" w:rsidR="00060FE3" w:rsidRDefault="007807C2">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063E4641" w14:textId="77777777" w:rsidR="00060FE3" w:rsidRDefault="00060FE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DD2FB" w14:textId="77777777" w:rsidR="00060FE3" w:rsidRDefault="00060FE3">
    <w:pPr>
      <w:pStyle w:val="a7"/>
      <w:framePr w:wrap="around" w:vAnchor="text" w:hAnchor="margin" w:xAlign="right" w:y="1"/>
      <w:rPr>
        <w:rStyle w:val="ad"/>
      </w:rPr>
    </w:pPr>
  </w:p>
  <w:p w14:paraId="3BA3CDFC" w14:textId="77777777" w:rsidR="00060FE3" w:rsidRDefault="00060FE3">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FD96E" w14:textId="77777777" w:rsidR="00060FE3" w:rsidRDefault="00060F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E2D67" w14:textId="77777777" w:rsidR="007807C2" w:rsidRDefault="007807C2">
      <w:r>
        <w:separator/>
      </w:r>
    </w:p>
  </w:footnote>
  <w:footnote w:type="continuationSeparator" w:id="0">
    <w:p w14:paraId="4D517D15" w14:textId="77777777" w:rsidR="007807C2" w:rsidRDefault="00780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9CDF6" w14:textId="77777777" w:rsidR="00060FE3" w:rsidRDefault="00060FE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AE46" w14:textId="77777777" w:rsidR="00060FE3" w:rsidRDefault="007807C2">
    <w:pPr>
      <w:pStyle w:val="a8"/>
      <w:jc w:val="both"/>
      <w:rPr>
        <w:sz w:val="21"/>
      </w:rPr>
    </w:pPr>
    <w:r>
      <w:rPr>
        <w:b/>
        <w:noProof/>
        <w:color w:val="333333"/>
        <w:sz w:val="21"/>
      </w:rPr>
      <w:drawing>
        <wp:inline distT="0" distB="0" distL="0" distR="0" wp14:anchorId="058726C9" wp14:editId="2CE7AE82">
          <wp:extent cx="881380" cy="44577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
                    <a:extLst>
                      <a:ext uri="{28A0092B-C50C-407E-A947-70E740481C1C}">
                        <a14:useLocalDpi xmlns:a14="http://schemas.microsoft.com/office/drawing/2010/main" val="0"/>
                      </a:ext>
                    </a:extLst>
                  </a:blip>
                  <a:srcRect t="15039" b="19783"/>
                  <a:stretch>
                    <a:fillRect/>
                  </a:stretch>
                </pic:blipFill>
                <pic:spPr>
                  <a:xfrm>
                    <a:off x="0" y="0"/>
                    <a:ext cx="904338" cy="457416"/>
                  </a:xfrm>
                  <a:prstGeom prst="rect">
                    <a:avLst/>
                  </a:prstGeom>
                  <a:ln>
                    <a:noFill/>
                  </a:ln>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11</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817AC" w14:textId="77777777" w:rsidR="00060FE3" w:rsidRDefault="00060FE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E4B0323"/>
    <w:multiLevelType w:val="multilevel"/>
    <w:tmpl w:val="3E4B0323"/>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15:restartNumberingAfterBreak="0">
    <w:nsid w:val="6D97141A"/>
    <w:multiLevelType w:val="multilevel"/>
    <w:tmpl w:val="6D97141A"/>
    <w:lvl w:ilvl="0">
      <w:start w:val="1"/>
      <w:numFmt w:val="bullet"/>
      <w:lvlText w:val=""/>
      <w:lvlJc w:val="left"/>
      <w:pPr>
        <w:ind w:left="480" w:hanging="48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93F6A2FD"/>
    <w:rsid w:val="9B9FE925"/>
    <w:rsid w:val="B9EFA024"/>
    <w:rsid w:val="BBDF1043"/>
    <w:rsid w:val="EFFFF08D"/>
    <w:rsid w:val="F7BD8804"/>
    <w:rsid w:val="F7F136A1"/>
    <w:rsid w:val="FF779987"/>
    <w:rsid w:val="00020E7A"/>
    <w:rsid w:val="00024497"/>
    <w:rsid w:val="00041F15"/>
    <w:rsid w:val="000532E1"/>
    <w:rsid w:val="00056E4C"/>
    <w:rsid w:val="0006079A"/>
    <w:rsid w:val="00060FE3"/>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42184"/>
    <w:rsid w:val="00146A94"/>
    <w:rsid w:val="001540DA"/>
    <w:rsid w:val="00172A27"/>
    <w:rsid w:val="001731D8"/>
    <w:rsid w:val="00173E91"/>
    <w:rsid w:val="00176817"/>
    <w:rsid w:val="00181C7B"/>
    <w:rsid w:val="00184006"/>
    <w:rsid w:val="00192A5B"/>
    <w:rsid w:val="00194762"/>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1337"/>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D64"/>
    <w:rsid w:val="003F3BB6"/>
    <w:rsid w:val="003F3F93"/>
    <w:rsid w:val="003F410F"/>
    <w:rsid w:val="003F4BD3"/>
    <w:rsid w:val="00404490"/>
    <w:rsid w:val="00407F5C"/>
    <w:rsid w:val="00407FAE"/>
    <w:rsid w:val="004109EA"/>
    <w:rsid w:val="00423117"/>
    <w:rsid w:val="00426569"/>
    <w:rsid w:val="00426D8C"/>
    <w:rsid w:val="00431B24"/>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02F43"/>
    <w:rsid w:val="006126FE"/>
    <w:rsid w:val="00613CE9"/>
    <w:rsid w:val="00642F29"/>
    <w:rsid w:val="00644994"/>
    <w:rsid w:val="00650F34"/>
    <w:rsid w:val="0065606B"/>
    <w:rsid w:val="0065759C"/>
    <w:rsid w:val="00661A8D"/>
    <w:rsid w:val="006707FE"/>
    <w:rsid w:val="0067611E"/>
    <w:rsid w:val="00693C3F"/>
    <w:rsid w:val="006955F5"/>
    <w:rsid w:val="006A24F1"/>
    <w:rsid w:val="006A60A4"/>
    <w:rsid w:val="006C16A7"/>
    <w:rsid w:val="006C1733"/>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07C2"/>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70C56"/>
    <w:rsid w:val="0097433A"/>
    <w:rsid w:val="00976708"/>
    <w:rsid w:val="0098226A"/>
    <w:rsid w:val="009823A9"/>
    <w:rsid w:val="00983853"/>
    <w:rsid w:val="009849FB"/>
    <w:rsid w:val="00993AA4"/>
    <w:rsid w:val="009B0E2C"/>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502B1"/>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6769"/>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0373C"/>
    <w:rsid w:val="00D03FAF"/>
    <w:rsid w:val="00D13BC3"/>
    <w:rsid w:val="00D14F03"/>
    <w:rsid w:val="00D36DD4"/>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02832"/>
    <w:rsid w:val="00E02D80"/>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6C47"/>
    <w:rsid w:val="00E92CC7"/>
    <w:rsid w:val="00E93D45"/>
    <w:rsid w:val="00EA4712"/>
    <w:rsid w:val="00EA47A5"/>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61F9052E"/>
    <w:rsid w:val="7FACDBAE"/>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FC4188"/>
  <w15:docId w15:val="{B7D0FE37-8ECF-9644-A850-B67B0A39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unhideWhenUsed/>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163</Words>
  <Characters>934</Characters>
  <Application>Microsoft Office Word</Application>
  <DocSecurity>0</DocSecurity>
  <Lines>7</Lines>
  <Paragraphs>2</Paragraphs>
  <ScaleCrop>false</ScaleCrop>
  <Company>WWW.YlmF.CoM</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30</cp:revision>
  <cp:lastPrinted>2012-10-13T00:46:00Z</cp:lastPrinted>
  <dcterms:created xsi:type="dcterms:W3CDTF">2015-11-24T23:28:00Z</dcterms:created>
  <dcterms:modified xsi:type="dcterms:W3CDTF">2021-02-03T07:38:00Z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