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波司登：企业微信整体解决方案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波司登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鞋服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2020.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8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-</w:t>
      </w:r>
      <w:r>
        <w:rPr>
          <w:rFonts w:ascii="微软雅黑" w:hAnsi="微软雅黑" w:eastAsia="微软雅黑"/>
          <w:sz w:val="21"/>
          <w:szCs w:val="21"/>
        </w:rPr>
        <w:t>至今</w:t>
      </w:r>
    </w:p>
    <w:p>
      <w:pPr>
        <w:spacing w:after="24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数字媒体整合类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企业总部——缺少数据赋能载体；无法对</w:t>
      </w:r>
      <w:r>
        <w:rPr>
          <w:rFonts w:ascii="微软雅黑" w:hAnsi="微软雅黑" w:eastAsia="微软雅黑"/>
          <w:sz w:val="21"/>
          <w:szCs w:val="21"/>
        </w:rPr>
        <w:t>B</w:t>
      </w:r>
      <w:r>
        <w:rPr>
          <w:rFonts w:hint="eastAsia" w:ascii="微软雅黑" w:hAnsi="微软雅黑" w:eastAsia="微软雅黑"/>
          <w:sz w:val="21"/>
          <w:szCs w:val="21"/>
        </w:rPr>
        <w:t>端运营全程把控；面对千万级</w:t>
      </w:r>
      <w:r>
        <w:rPr>
          <w:rFonts w:ascii="微软雅黑" w:hAnsi="微软雅黑" w:eastAsia="微软雅黑"/>
          <w:sz w:val="21"/>
          <w:szCs w:val="21"/>
        </w:rPr>
        <w:t>C</w:t>
      </w:r>
      <w:r>
        <w:rPr>
          <w:rFonts w:hint="eastAsia" w:ascii="微软雅黑" w:hAnsi="微软雅黑" w:eastAsia="微软雅黑"/>
          <w:sz w:val="21"/>
          <w:szCs w:val="21"/>
        </w:rPr>
        <w:t>端客户，无法了解</w:t>
      </w:r>
      <w:r>
        <w:rPr>
          <w:rFonts w:ascii="微软雅黑" w:hAnsi="微软雅黑" w:eastAsia="微软雅黑"/>
          <w:sz w:val="21"/>
          <w:szCs w:val="21"/>
        </w:rPr>
        <w:t>C</w:t>
      </w:r>
      <w:r>
        <w:rPr>
          <w:rFonts w:hint="eastAsia" w:ascii="微软雅黑" w:hAnsi="微软雅黑" w:eastAsia="微软雅黑"/>
          <w:sz w:val="21"/>
          <w:szCs w:val="21"/>
        </w:rPr>
        <w:t>端在</w:t>
      </w:r>
      <w:r>
        <w:rPr>
          <w:rFonts w:ascii="微软雅黑" w:hAnsi="微软雅黑" w:eastAsia="微软雅黑"/>
          <w:sz w:val="21"/>
          <w:szCs w:val="21"/>
        </w:rPr>
        <w:t>B</w:t>
      </w:r>
      <w:r>
        <w:rPr>
          <w:rFonts w:hint="eastAsia" w:ascii="微软雅黑" w:hAnsi="微软雅黑" w:eastAsia="微软雅黑"/>
          <w:sz w:val="21"/>
          <w:szCs w:val="21"/>
        </w:rPr>
        <w:t>端的运营场景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ascii="微软雅黑" w:hAnsi="微软雅黑" w:eastAsia="微软雅黑"/>
          <w:sz w:val="21"/>
          <w:szCs w:val="21"/>
        </w:rPr>
        <w:t>B</w:t>
      </w:r>
      <w:r>
        <w:rPr>
          <w:rFonts w:hint="eastAsia" w:ascii="微软雅黑" w:hAnsi="微软雅黑" w:eastAsia="微软雅黑"/>
          <w:sz w:val="21"/>
          <w:szCs w:val="21"/>
        </w:rPr>
        <w:t>端</w:t>
      </w:r>
      <w:r>
        <w:rPr>
          <w:rFonts w:ascii="微软雅黑" w:hAnsi="微软雅黑" w:eastAsia="微软雅黑"/>
          <w:sz w:val="21"/>
          <w:szCs w:val="21"/>
        </w:rPr>
        <w:t>(</w:t>
      </w:r>
      <w:r>
        <w:rPr>
          <w:rFonts w:hint="eastAsia" w:ascii="微软雅黑" w:hAnsi="微软雅黑" w:eastAsia="微软雅黑"/>
          <w:sz w:val="21"/>
          <w:szCs w:val="21"/>
        </w:rPr>
        <w:t>业务团队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销售团队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经销商</w:t>
      </w:r>
      <w:r>
        <w:rPr>
          <w:rFonts w:ascii="微软雅黑" w:hAnsi="微软雅黑" w:eastAsia="微软雅黑"/>
          <w:sz w:val="21"/>
          <w:szCs w:val="21"/>
        </w:rPr>
        <w:t>)——</w:t>
      </w:r>
      <w:r>
        <w:rPr>
          <w:rFonts w:hint="eastAsia" w:ascii="微软雅黑" w:hAnsi="微软雅黑" w:eastAsia="微软雅黑"/>
          <w:sz w:val="21"/>
          <w:szCs w:val="21"/>
        </w:rPr>
        <w:t>团队自行管理；开展业务缺少引导；运营策略无数据支撑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3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ascii="微软雅黑" w:hAnsi="微软雅黑" w:eastAsia="微软雅黑"/>
          <w:sz w:val="21"/>
          <w:szCs w:val="21"/>
        </w:rPr>
        <w:t>B</w:t>
      </w:r>
      <w:r>
        <w:rPr>
          <w:rFonts w:hint="eastAsia" w:ascii="微软雅黑" w:hAnsi="微软雅黑" w:eastAsia="微软雅黑"/>
          <w:sz w:val="21"/>
          <w:szCs w:val="21"/>
        </w:rPr>
        <w:t>端</w:t>
      </w:r>
      <w:r>
        <w:rPr>
          <w:rFonts w:ascii="微软雅黑" w:hAnsi="微软雅黑" w:eastAsia="微软雅黑"/>
          <w:sz w:val="21"/>
          <w:szCs w:val="21"/>
        </w:rPr>
        <w:t>&amp;C</w:t>
      </w:r>
      <w:r>
        <w:rPr>
          <w:rFonts w:hint="eastAsia" w:ascii="微软雅黑" w:hAnsi="微软雅黑" w:eastAsia="微软雅黑"/>
          <w:sz w:val="21"/>
          <w:szCs w:val="21"/>
        </w:rPr>
        <w:t>端——联系需要后勤团队协助；缺少对执行人员的监控；运营能力层次不齐，体验不好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Microsoft YaHei UI" w:hAnsi="Microsoft YaHei UI" w:eastAsia="Microsoft YaHei UI" w:cs="微软雅黑"/>
          <w:sz w:val="22"/>
        </w:rPr>
      </w:pPr>
      <w:r>
        <w:rPr>
          <w:rFonts w:ascii="微软雅黑" w:hAnsi="微软雅黑" w:eastAsia="微软雅黑"/>
          <w:sz w:val="21"/>
          <w:szCs w:val="21"/>
        </w:rPr>
        <w:t>4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ascii="微软雅黑" w:hAnsi="微软雅黑" w:eastAsia="微软雅黑"/>
          <w:sz w:val="21"/>
          <w:szCs w:val="21"/>
        </w:rPr>
        <w:t>C</w:t>
      </w:r>
      <w:r>
        <w:rPr>
          <w:rFonts w:hint="eastAsia" w:ascii="微软雅黑" w:hAnsi="微软雅黑" w:eastAsia="微软雅黑"/>
          <w:sz w:val="21"/>
          <w:szCs w:val="21"/>
        </w:rPr>
        <w:t>端顾客——运营场景冗余；无法接触到更精确的触达；与</w:t>
      </w:r>
      <w:r>
        <w:rPr>
          <w:rFonts w:ascii="微软雅黑" w:hAnsi="微软雅黑" w:eastAsia="微软雅黑"/>
          <w:sz w:val="21"/>
          <w:szCs w:val="21"/>
        </w:rPr>
        <w:t>BA</w:t>
      </w:r>
      <w:r>
        <w:rPr>
          <w:rFonts w:hint="eastAsia" w:ascii="微软雅黑" w:hAnsi="微软雅黑" w:eastAsia="微软雅黑"/>
          <w:sz w:val="21"/>
          <w:szCs w:val="21"/>
        </w:rPr>
        <w:t>是“最熟悉的陌生人”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提升集团对导购的把控力，提高门店导购能动性；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运营私域，增强与客户粘性，提高成单率和复购率。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pStyle w:val="2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群裂变、群托管</w:t>
      </w:r>
    </w:p>
    <w:p>
      <w:pPr>
        <w:pStyle w:val="2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任务前端作战中心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1、用户角色：加盟商/店长；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2、目标下发：目标分解/查看；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3、任务执行：任务列表/任务执行/任务提醒/进度查询；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4、完成激励：完成度/任务达成/任务排名/报表查看</w:t>
      </w:r>
    </w:p>
    <w:p>
      <w:pPr>
        <w:pStyle w:val="21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任务后端指挥中心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1、目标管理：目标设置/下发/提醒/比对；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2、任务管理：任务创建/监控；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3、审核管理：任务审核/目标审核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—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社群工具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群裂变、群托管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5074285" cy="2734310"/>
            <wp:effectExtent l="0" t="0" r="5715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3501" cy="27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二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任务前端：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1</w:t>
      </w:r>
      <w:r>
        <w:rPr>
          <w:rFonts w:ascii="微软雅黑" w:hAnsi="微软雅黑" w:eastAsia="微软雅黑"/>
          <w:sz w:val="21"/>
          <w:szCs w:val="21"/>
        </w:rPr>
        <w:t>.</w:t>
      </w:r>
      <w:r>
        <w:rPr>
          <w:rFonts w:hint="eastAsia" w:ascii="微软雅黑" w:hAnsi="微软雅黑" w:eastAsia="微软雅黑"/>
          <w:sz w:val="21"/>
          <w:szCs w:val="21"/>
        </w:rPr>
        <w:t>用户角色：加盟商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店长；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2.</w:t>
      </w:r>
      <w:r>
        <w:rPr>
          <w:rFonts w:hint="eastAsia" w:ascii="微软雅黑" w:hAnsi="微软雅黑" w:eastAsia="微软雅黑"/>
          <w:sz w:val="21"/>
          <w:szCs w:val="21"/>
        </w:rPr>
        <w:t>目标下发：目标分解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查看；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3.</w:t>
      </w:r>
      <w:r>
        <w:rPr>
          <w:rFonts w:hint="eastAsia" w:ascii="微软雅黑" w:hAnsi="微软雅黑" w:eastAsia="微软雅黑"/>
          <w:sz w:val="21"/>
          <w:szCs w:val="21"/>
        </w:rPr>
        <w:t>任务执行：任务列表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任务执行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任务提醒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进度查询；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4.</w:t>
      </w:r>
      <w:r>
        <w:rPr>
          <w:rFonts w:hint="eastAsia" w:ascii="微软雅黑" w:hAnsi="微软雅黑" w:eastAsia="微软雅黑"/>
          <w:sz w:val="21"/>
          <w:szCs w:val="21"/>
        </w:rPr>
        <w:t>完成激励：完成度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任务达成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任务排名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报表查看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5617845" cy="3185160"/>
            <wp:effectExtent l="0" t="0" r="0" b="254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5568" cy="320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6188710" cy="32137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三、</w:t>
      </w:r>
      <w:r>
        <w:rPr>
          <w:rFonts w:hint="eastAsia" w:ascii="微软雅黑" w:hAnsi="微软雅黑" w:eastAsia="微软雅黑"/>
          <w:sz w:val="21"/>
          <w:szCs w:val="21"/>
        </w:rPr>
        <w:t>任务后端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目标管理：目标设置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下发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提醒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比对；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任务管理：任务创建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监控；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3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审核管理：任务审核</w:t>
      </w:r>
      <w:r>
        <w:rPr>
          <w:rFonts w:ascii="微软雅黑" w:hAnsi="微软雅黑" w:eastAsia="微软雅黑"/>
          <w:sz w:val="21"/>
          <w:szCs w:val="21"/>
        </w:rPr>
        <w:t>/</w:t>
      </w:r>
      <w:r>
        <w:rPr>
          <w:rFonts w:hint="eastAsia" w:ascii="微软雅黑" w:hAnsi="微软雅黑" w:eastAsia="微软雅黑"/>
          <w:sz w:val="21"/>
          <w:szCs w:val="21"/>
        </w:rPr>
        <w:t>目标审核。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5939155" cy="1151890"/>
            <wp:effectExtent l="0" t="0" r="4445" b="381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1780" cy="11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</w:p>
    <w:p>
      <w:pPr>
        <w:textAlignment w:val="baseline"/>
        <w:rPr>
          <w:rFonts w:ascii="微软雅黑" w:hAnsi="微软雅黑" w:eastAsia="微软雅黑"/>
          <w:b/>
          <w:color w:val="0000FF"/>
          <w:sz w:val="28"/>
        </w:rPr>
      </w:pPr>
      <w:bookmarkStart w:id="1" w:name="_GoBack"/>
      <w:bookmarkEnd w:id="1"/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基于群脉SCRM平台数字化运营以及高并发能力,</w:t>
      </w:r>
      <w:r>
        <w:rPr>
          <w:rFonts w:hint="eastAsia" w:ascii="微软雅黑" w:hAnsi="微软雅黑" w:eastAsia="微软雅黑"/>
          <w:sz w:val="21"/>
          <w:szCs w:val="21"/>
        </w:rPr>
        <w:t xml:space="preserve"> 截至</w:t>
      </w: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月</w:t>
      </w:r>
      <w:r>
        <w:rPr>
          <w:rFonts w:ascii="微软雅黑" w:hAnsi="微软雅黑" w:eastAsia="微软雅黑"/>
          <w:sz w:val="21"/>
          <w:szCs w:val="21"/>
        </w:rPr>
        <w:t>11</w:t>
      </w:r>
      <w:r>
        <w:rPr>
          <w:rFonts w:hint="eastAsia" w:ascii="微软雅黑" w:hAnsi="微软雅黑" w:eastAsia="微软雅黑"/>
          <w:sz w:val="21"/>
          <w:szCs w:val="21"/>
        </w:rPr>
        <w:t>日，整体社群数量</w:t>
      </w:r>
      <w:r>
        <w:rPr>
          <w:rFonts w:ascii="微软雅黑" w:hAnsi="微软雅黑" w:eastAsia="微软雅黑"/>
          <w:sz w:val="21"/>
          <w:szCs w:val="21"/>
        </w:rPr>
        <w:t>2,818</w:t>
      </w:r>
      <w:r>
        <w:rPr>
          <w:rFonts w:hint="eastAsia" w:ascii="微软雅黑" w:hAnsi="微软雅黑" w:eastAsia="微软雅黑"/>
          <w:sz w:val="21"/>
          <w:szCs w:val="21"/>
        </w:rPr>
        <w:t>，群用户数</w:t>
      </w:r>
      <w:r>
        <w:rPr>
          <w:rFonts w:ascii="微软雅黑" w:hAnsi="微软雅黑" w:eastAsia="微软雅黑"/>
          <w:sz w:val="21"/>
          <w:szCs w:val="21"/>
        </w:rPr>
        <w:t>61,819</w:t>
      </w:r>
      <w:r>
        <w:rPr>
          <w:rFonts w:hint="eastAsia" w:ascii="微软雅黑" w:hAnsi="微软雅黑" w:eastAsia="微软雅黑"/>
          <w:sz w:val="21"/>
          <w:szCs w:val="21"/>
        </w:rPr>
        <w:t>，每日平均群消息数</w:t>
      </w:r>
      <w:r>
        <w:rPr>
          <w:rFonts w:ascii="微软雅黑" w:hAnsi="微软雅黑" w:eastAsia="微软雅黑"/>
          <w:sz w:val="21"/>
          <w:szCs w:val="21"/>
        </w:rPr>
        <w:t>7,034</w:t>
      </w:r>
      <w:r>
        <w:rPr>
          <w:rFonts w:hint="eastAsia" w:ascii="微软雅黑" w:hAnsi="微软雅黑" w:eastAsia="微软雅黑"/>
          <w:sz w:val="21"/>
          <w:szCs w:val="21"/>
        </w:rPr>
        <w:t>，活跃率</w:t>
      </w:r>
      <w:r>
        <w:rPr>
          <w:rFonts w:ascii="微软雅黑" w:hAnsi="微软雅黑" w:eastAsia="微软雅黑"/>
          <w:sz w:val="21"/>
          <w:szCs w:val="21"/>
        </w:rPr>
        <w:t>0.05%</w:t>
      </w:r>
      <w:r>
        <w:rPr>
          <w:rFonts w:hint="eastAsia" w:ascii="微软雅黑" w:hAnsi="微软雅黑" w:eastAsia="微软雅黑"/>
          <w:sz w:val="21"/>
          <w:szCs w:val="21"/>
        </w:rPr>
        <w:t>。接入群数量</w:t>
      </w:r>
      <w:r>
        <w:rPr>
          <w:rFonts w:ascii="微软雅黑" w:hAnsi="微软雅黑" w:eastAsia="微软雅黑"/>
          <w:sz w:val="21"/>
          <w:szCs w:val="21"/>
        </w:rPr>
        <w:t>124</w:t>
      </w:r>
      <w:r>
        <w:rPr>
          <w:rFonts w:hint="eastAsia" w:ascii="微软雅黑" w:hAnsi="微软雅黑" w:eastAsia="微软雅黑"/>
          <w:sz w:val="21"/>
          <w:szCs w:val="21"/>
        </w:rPr>
        <w:t>，群用户数</w:t>
      </w:r>
      <w:r>
        <w:rPr>
          <w:rFonts w:ascii="微软雅黑" w:hAnsi="微软雅黑" w:eastAsia="微软雅黑"/>
          <w:sz w:val="21"/>
          <w:szCs w:val="21"/>
        </w:rPr>
        <w:t xml:space="preserve">7,349 </w:t>
      </w:r>
      <w:r>
        <w:rPr>
          <w:rFonts w:hint="eastAsia" w:ascii="微软雅黑" w:hAnsi="微软雅黑" w:eastAsia="微软雅黑"/>
          <w:sz w:val="21"/>
          <w:szCs w:val="21"/>
        </w:rPr>
        <w:t>，每日平均群消息数</w:t>
      </w:r>
      <w:r>
        <w:rPr>
          <w:rFonts w:ascii="微软雅黑" w:hAnsi="微软雅黑" w:eastAsia="微软雅黑"/>
          <w:sz w:val="21"/>
          <w:szCs w:val="21"/>
        </w:rPr>
        <w:t>857</w:t>
      </w:r>
      <w:r>
        <w:rPr>
          <w:rFonts w:hint="eastAsia" w:ascii="微软雅黑" w:hAnsi="微软雅黑" w:eastAsia="微软雅黑"/>
          <w:sz w:val="21"/>
          <w:szCs w:val="21"/>
        </w:rPr>
        <w:t>，活跃率</w:t>
      </w:r>
      <w:r>
        <w:rPr>
          <w:rFonts w:ascii="微软雅黑" w:hAnsi="微软雅黑" w:eastAsia="微软雅黑"/>
          <w:sz w:val="21"/>
          <w:szCs w:val="21"/>
        </w:rPr>
        <w:t>4.69%</w:t>
      </w:r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ascii="微软雅黑" w:hAnsi="微软雅黑" w:eastAsia="微软雅黑"/>
          <w:sz w:val="21"/>
          <w:szCs w:val="21"/>
        </w:rPr>
        <w:t>有效帮助</w:t>
      </w:r>
      <w:r>
        <w:rPr>
          <w:rFonts w:hint="eastAsia" w:ascii="微软雅黑" w:hAnsi="微软雅黑" w:eastAsia="微软雅黑"/>
          <w:sz w:val="21"/>
          <w:szCs w:val="21"/>
        </w:rPr>
        <w:t>波司登</w:t>
      </w:r>
      <w:r>
        <w:rPr>
          <w:rFonts w:ascii="微软雅黑" w:hAnsi="微软雅黑" w:eastAsia="微软雅黑"/>
          <w:sz w:val="21"/>
          <w:szCs w:val="21"/>
        </w:rPr>
        <w:t>拉近与消费者的距离,增强品牌好感度,增加消费者粘性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rPr>
          <w:rFonts w:ascii="微软雅黑" w:hAnsi="微软雅黑" w:eastAsia="微软雅黑"/>
          <w:color w:val="FF0000"/>
          <w:sz w:val="20"/>
        </w:rPr>
      </w:pPr>
      <w:r>
        <w:rPr>
          <w:rFonts w:ascii="Microsoft YaHei UI" w:hAnsi="Microsoft YaHei UI" w:eastAsia="Microsoft YaHei UI"/>
          <w:sz w:val="20"/>
          <w:szCs w:val="20"/>
        </w:rPr>
        <w:drawing>
          <wp:inline distT="0" distB="0" distL="0" distR="0">
            <wp:extent cx="5720715" cy="28422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color w:val="FF0000"/>
          <w:sz w:val="20"/>
        </w:rPr>
      </w:pPr>
    </w:p>
    <w:p>
      <w:pPr>
        <w:pStyle w:val="21"/>
        <w:numPr>
          <w:ilvl w:val="0"/>
          <w:numId w:val="4"/>
        </w:numPr>
        <w:spacing w:after="120" w:afterLines="50"/>
        <w:ind w:firstLineChars="0"/>
        <w:textAlignment w:val="baseline"/>
        <w:rPr>
          <w:rFonts w:ascii="微软雅黑" w:hAnsi="微软雅黑" w:eastAsia="微软雅黑"/>
          <w:b/>
          <w:sz w:val="24"/>
          <w:szCs w:val="24"/>
        </w:rPr>
      </w:pPr>
      <w:bookmarkStart w:id="0" w:name="_Hlk500851437"/>
      <w:r>
        <w:rPr>
          <w:rFonts w:hint="eastAsia" w:ascii="微软雅黑" w:hAnsi="微软雅黑" w:eastAsia="微软雅黑"/>
          <w:b/>
          <w:sz w:val="24"/>
          <w:szCs w:val="24"/>
        </w:rPr>
        <w:t>提交要求</w:t>
      </w:r>
    </w:p>
    <w:p>
      <w:pPr>
        <w:pStyle w:val="21"/>
        <w:ind w:left="420" w:firstLine="0" w:firstLineChars="0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请同时提交本案的品牌广告主logo，参赛公司logo（多个作品只提交一次即可），AI及JPG格式各一，如有特殊使用说明，请备注。</w:t>
      </w:r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07"/>
    <w:multiLevelType w:val="multilevel"/>
    <w:tmpl w:val="13FA24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2545DE"/>
    <w:multiLevelType w:val="multilevel"/>
    <w:tmpl w:val="512545D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1A83917"/>
    <w:multiLevelType w:val="multilevel"/>
    <w:tmpl w:val="61A8391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D97141A"/>
    <w:multiLevelType w:val="multilevel"/>
    <w:tmpl w:val="6D9714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112C7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B60A1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474A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96DD2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37338"/>
    <w:rsid w:val="0085738D"/>
    <w:rsid w:val="008612D4"/>
    <w:rsid w:val="008674D7"/>
    <w:rsid w:val="00880022"/>
    <w:rsid w:val="008875A4"/>
    <w:rsid w:val="008B2200"/>
    <w:rsid w:val="008B689B"/>
    <w:rsid w:val="008C2693"/>
    <w:rsid w:val="008D508A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4F1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211</Words>
  <Characters>1204</Characters>
  <Lines>10</Lines>
  <Paragraphs>2</Paragraphs>
  <TotalTime>2</TotalTime>
  <ScaleCrop>false</ScaleCrop>
  <LinksUpToDate>false</LinksUpToDate>
  <CharactersWithSpaces>1413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ylb</cp:lastModifiedBy>
  <cp:lastPrinted>2012-10-11T08:46:00Z</cp:lastPrinted>
  <dcterms:modified xsi:type="dcterms:W3CDTF">2021-03-18T13:38:57Z</dcterms:modified>
  <dc:title>No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