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CDFDB1" w14:textId="77777777" w:rsidR="00145C1E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深圳中行IP拓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拓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鹏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鹏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升级及推广宣传</w:t>
      </w:r>
    </w:p>
    <w:p w14:paraId="1E8A4FE3" w14:textId="77777777" w:rsidR="00145C1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：中国银行深圳市分行</w:t>
      </w:r>
    </w:p>
    <w:p w14:paraId="3B27701C" w14:textId="77777777" w:rsidR="00145C1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：金融理财</w:t>
      </w:r>
    </w:p>
    <w:p w14:paraId="7304C84C" w14:textId="77777777" w:rsidR="00145C1E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.06.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-07.31</w:t>
      </w:r>
    </w:p>
    <w:p w14:paraId="1984FB8E" w14:textId="77777777" w:rsidR="00145C1E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：IP营销类</w:t>
      </w:r>
    </w:p>
    <w:p w14:paraId="1D5A4CFD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C484154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深圳是一座年轻人汇聚的城市，第七次人口普查数据显示——深圳常住人口1756万，平均年龄32.5岁。百年中行在即将迎来110周年华诞之际，如何与年轻的深圳人开启全新的对话，事关业务发展，深圳分行决定以用户为中心，探索将城市精神、中行理念和用户偏好进行有机融合，推出年轻人喜爱的IP形象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做为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全新的沟通代言人。</w:t>
      </w:r>
    </w:p>
    <w:p w14:paraId="6AFF0EED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5EC8B03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本次方案旨在重塑品牌IP人格化，通过“轻交互+轻运营”借势出圈，丰满品牌IP角色定位，赋予鲜明性格特征和新潮形象，开启了深圳中行年轻化宣传的新篇章。</w:t>
      </w:r>
    </w:p>
    <w:p w14:paraId="6E9DE819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ADE0A82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  <w:r>
        <w:rPr>
          <w:rFonts w:ascii="微软雅黑" w:eastAsia="微软雅黑" w:hAnsi="微软雅黑" w:hint="eastAsia"/>
          <w:sz w:val="21"/>
          <w:szCs w:val="21"/>
        </w:rPr>
        <w:t>本次营销策略与创意将品牌IP形象装上一颗与城市联动的心，出生在深圳中行的IP，将与在深圳这片热土的千万名年轻人一样——敢闯敢试、开放包容、追求卓越！以下通过3步由内而外搭建生动活泼的立体IP形象。</w:t>
      </w:r>
    </w:p>
    <w:p w14:paraId="7345E7C7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</w:p>
    <w:p w14:paraId="5BD9B33B" w14:textId="77777777" w:rsidR="00145C1E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IP形象——制定《拓拓与鹏鹏IP视觉形象手册》，丰满角色定位，突出鲜明性格特征，延展新潮形象，规范使用场景；</w:t>
      </w:r>
    </w:p>
    <w:p w14:paraId="49BDB4AD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69EBCAD9" wp14:editId="15D1C5C5">
            <wp:extent cx="5717540" cy="3216275"/>
            <wp:effectExtent l="0" t="0" r="10160" b="9525"/>
            <wp:docPr id="2" name="图片 2" descr="IP形象升级及推广项目结案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P形象升级及推广项目结案报告_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B9CCF5D" wp14:editId="39CBF07D">
            <wp:extent cx="5717540" cy="3216275"/>
            <wp:effectExtent l="0" t="0" r="10160" b="9525"/>
            <wp:docPr id="1" name="图片 1" descr="IP形象升级及推广项目结案报告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P形象升级及推广项目结案报告_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2D50" w14:textId="77777777" w:rsidR="00145C1E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IP推广——打造「拓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×鹏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出道企划」，通过《拓拓鹏鹏探索新世界》三维动画、主题海报、一系列出圈表情包等，借助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微信公众号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、视频号等渠道，打造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IP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出道形象，深化人设；</w:t>
      </w:r>
    </w:p>
    <w:p w14:paraId="79DC0F14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FD5ACBF" wp14:editId="23510437">
            <wp:extent cx="5717540" cy="3216275"/>
            <wp:effectExtent l="0" t="0" r="10160" b="9525"/>
            <wp:docPr id="3" name="图片 3" descr="IP形象升级及推广项目结案报告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P形象升级及推广项目结案报告_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B7B3D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3、IP运营——拟人化运营，持续沉淀IP内容，以IP品牌好感助力业务增长，借助创意H5小游戏、IP主题网点打造，职业梦想家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系列盲盒设计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与制作，将IP的角色能力融入日常运营，渗透进各种线下网点业务场景，实现IP带动业务，赋能增长。</w:t>
      </w:r>
    </w:p>
    <w:p w14:paraId="26F38823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7BA6A4C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通过“线上+线下”联动传播，实现短期内将拓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的IP形象迅速推广出圈。</w:t>
      </w:r>
    </w:p>
    <w:p w14:paraId="758CDFAA" w14:textId="77777777" w:rsidR="00145C1E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设计IP：为赋予IP鲜明的性格与新潮的形象，定制《拓拓与鹏鹏IP视觉形象手册》，全行推广，规范IP的基本形象、设计标准以及在多种环境下的应用规范，强化视觉识别系统；设计动态IP表情包，将IP形象充分融入进日常业务沟通场景，同时，还制作了IP三维动画视频，通过中行官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微信公众号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和视频号进行发布，立体化呈现这一对新搭档！</w:t>
      </w:r>
    </w:p>
    <w:p w14:paraId="386D78D7" w14:textId="77777777" w:rsidR="00145C1E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推广IP：①深圳中行选定新兴标杆产业园区，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毗邻腾讯滨海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大厦，拥有超过10万创业者的深圳软件产业基地，打造首个拓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鹏鹏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的银行主题网点，在沉浸式的互动中强化IP独特可爱的形象，让用户在办理业务过程中感受到全新的中行，从而提高品牌好感度；②在深圳人流量最大地铁线，以地铁拉手的形式进行创意呈现，让乘客与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IP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拉手直接接触，实现了媒介与受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众真正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的零距离。拉手推出第一天，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微博发布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“深圳地铁拉手也太可爱了吧”话题，总阅读量210.8万人次；③主题网点和地铁广告推出后，定向邀约深圳本地头部微博、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KOL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拍摄探店视频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、照片，多角度解读IP，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宣推整体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曝光量为1188万人次。</w:t>
      </w:r>
    </w:p>
    <w:p w14:paraId="5AC1A227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61B69E0" wp14:editId="14B9A38C">
            <wp:extent cx="5717540" cy="3216275"/>
            <wp:effectExtent l="0" t="0" r="10160" b="9525"/>
            <wp:docPr id="6" name="图片 6" descr="IP形象升级及推广项目结案报告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P形象升级及推广项目结案报告_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0C3FE5D" wp14:editId="6A01FAB8">
            <wp:extent cx="5717540" cy="3216275"/>
            <wp:effectExtent l="0" t="0" r="10160" b="9525"/>
            <wp:docPr id="5" name="图片 5" descr="IP形象升级及推广项目结案报告_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P形象升级及推广项目结案报告_2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8FC42E0" wp14:editId="309E8A01">
            <wp:extent cx="5713095" cy="3213735"/>
            <wp:effectExtent l="0" t="0" r="1905" b="12065"/>
            <wp:docPr id="4" name="图片 4" descr="IP形象升级及推广项目结案报告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P形象升级及推广项目结案报告_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8809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D212127" wp14:editId="0B01B860">
            <wp:extent cx="5713095" cy="3213735"/>
            <wp:effectExtent l="0" t="0" r="1905" b="12065"/>
            <wp:docPr id="7" name="图片 7" descr="IP形象升级及推广项目结案报告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P形象升级及推广项目结案报告_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A141" w14:textId="77777777" w:rsidR="00145C1E" w:rsidRDefault="00000000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运营IP：春节期间，推出《拓拓鹏鹏邀你一起接金币》在线游戏，用户在游戏的同时，可领取数字人民币红包，促进用户进行实名认证。</w:t>
      </w:r>
    </w:p>
    <w:p w14:paraId="7C30083C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C0B013B" wp14:editId="2D3B23C7">
            <wp:extent cx="5717540" cy="3216275"/>
            <wp:effectExtent l="0" t="0" r="10160" b="9525"/>
            <wp:docPr id="8" name="图片 8" descr="IP形象升级及推广项目结案报告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P形象升级及推广项目结案报告_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ECE4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664D3DA" w14:textId="77777777" w:rsidR="00145C1E" w:rsidRDefault="0000000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品牌层：让千万深圳人更喜爱中行</w:t>
      </w:r>
      <w:r>
        <w:rPr>
          <w:rFonts w:ascii="微软雅黑" w:eastAsia="微软雅黑" w:hAnsi="微软雅黑" w:hint="eastAsia"/>
          <w:sz w:val="21"/>
          <w:szCs w:val="21"/>
        </w:rPr>
        <w:br/>
        <w:t>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鹏鹏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的品牌IP是对深圳分行品牌主张的提炼，是品牌人格化的具体表达，IP出道动画视频通过深圳中行视频号、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微信公众号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在儿童节官宣发布，首发当日传播量即达</w:t>
      </w:r>
      <w:r w:rsidRPr="00DF10A3">
        <w:rPr>
          <w:rFonts w:ascii="微软雅黑" w:eastAsia="微软雅黑" w:hAnsi="微软雅黑" w:hint="eastAsia"/>
          <w:b/>
          <w:bCs/>
          <w:sz w:val="21"/>
          <w:szCs w:val="21"/>
        </w:rPr>
        <w:t>2.3万人次</w:t>
      </w:r>
      <w:r>
        <w:rPr>
          <w:rFonts w:ascii="微软雅黑" w:eastAsia="微软雅黑" w:hAnsi="微软雅黑" w:hint="eastAsia"/>
          <w:sz w:val="21"/>
          <w:szCs w:val="21"/>
        </w:rPr>
        <w:t>，互动量</w:t>
      </w:r>
      <w:r w:rsidRPr="00DF10A3">
        <w:rPr>
          <w:rFonts w:ascii="微软雅黑" w:eastAsia="微软雅黑" w:hAnsi="微软雅黑" w:hint="eastAsia"/>
          <w:b/>
          <w:bCs/>
          <w:sz w:val="21"/>
          <w:szCs w:val="21"/>
        </w:rPr>
        <w:t>8242次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互动率</w:t>
      </w:r>
      <w:proofErr w:type="gramEnd"/>
      <w:r w:rsidRPr="00DF10A3">
        <w:rPr>
          <w:rFonts w:ascii="微软雅黑" w:eastAsia="微软雅黑" w:hAnsi="微软雅黑" w:hint="eastAsia"/>
          <w:b/>
          <w:bCs/>
          <w:sz w:val="21"/>
          <w:szCs w:val="21"/>
        </w:rPr>
        <w:t>36%</w:t>
      </w:r>
      <w:r>
        <w:rPr>
          <w:rFonts w:ascii="微软雅黑" w:eastAsia="微软雅黑" w:hAnsi="微软雅黑" w:hint="eastAsia"/>
          <w:sz w:val="21"/>
          <w:szCs w:val="21"/>
        </w:rPr>
        <w:t>，后续其在主题网点内容上</w:t>
      </w:r>
      <w:r w:rsidRPr="00DF10A3">
        <w:rPr>
          <w:rFonts w:ascii="微软雅黑" w:eastAsia="微软雅黑" w:hAnsi="微软雅黑" w:hint="eastAsia"/>
          <w:b/>
          <w:bCs/>
          <w:sz w:val="21"/>
          <w:szCs w:val="21"/>
        </w:rPr>
        <w:t>1188万人次</w:t>
      </w:r>
      <w:r>
        <w:rPr>
          <w:rFonts w:ascii="微软雅黑" w:eastAsia="微软雅黑" w:hAnsi="微软雅黑" w:hint="eastAsia"/>
          <w:sz w:val="21"/>
          <w:szCs w:val="21"/>
        </w:rPr>
        <w:t>的曝光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和微博话题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过</w:t>
      </w:r>
      <w:r w:rsidRPr="00DF10A3">
        <w:rPr>
          <w:rFonts w:ascii="微软雅黑" w:eastAsia="微软雅黑" w:hAnsi="微软雅黑" w:hint="eastAsia"/>
          <w:b/>
          <w:bCs/>
          <w:sz w:val="21"/>
          <w:szCs w:val="21"/>
        </w:rPr>
        <w:t>210万</w:t>
      </w:r>
      <w:r>
        <w:rPr>
          <w:rFonts w:ascii="微软雅黑" w:eastAsia="微软雅黑" w:hAnsi="微软雅黑" w:hint="eastAsia"/>
          <w:sz w:val="21"/>
          <w:szCs w:val="21"/>
        </w:rPr>
        <w:t>热烈探讨，说明深圳分行借助IP有效拉近了自己与深圳千万年轻用户的距离，初步完成了拓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的品牌IP化，并为其后续的可持续运营打下基础。</w:t>
      </w:r>
    </w:p>
    <w:p w14:paraId="052010B0" w14:textId="77777777" w:rsidR="00145C1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br/>
        <w:t>2、业务层：以IP助力业务增长初见成效</w:t>
      </w:r>
      <w:r>
        <w:rPr>
          <w:rFonts w:ascii="微软雅黑" w:eastAsia="微软雅黑" w:hAnsi="微软雅黑" w:hint="eastAsia"/>
          <w:sz w:val="21"/>
          <w:szCs w:val="21"/>
        </w:rPr>
        <w:br/>
        <w:t>通过建立年轻的品牌IP形象，搭建与用户沟通的桥梁，本轮通过IP与品牌高关联度的传播，成功吸引到很多年轻用户，提升了品牌影响力的同时，有效助力了业务增长，拓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一系列小游戏累计参与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次数超</w:t>
      </w:r>
      <w:proofErr w:type="gramEnd"/>
      <w:r w:rsidRPr="00DF10A3">
        <w:rPr>
          <w:rFonts w:ascii="微软雅黑" w:eastAsia="微软雅黑" w:hAnsi="微软雅黑" w:hint="eastAsia"/>
          <w:b/>
          <w:bCs/>
          <w:sz w:val="21"/>
          <w:szCs w:val="21"/>
        </w:rPr>
        <w:t>12万人次</w:t>
      </w:r>
      <w:r>
        <w:rPr>
          <w:rFonts w:ascii="微软雅黑" w:eastAsia="微软雅黑" w:hAnsi="微软雅黑" w:hint="eastAsia"/>
          <w:sz w:val="21"/>
          <w:szCs w:val="21"/>
        </w:rPr>
        <w:t>，其中《拓拓鹏鹏邀你一起接金币》小游戏人均访问时长达到7分18秒;</w:t>
      </w:r>
    </w:p>
    <w:p w14:paraId="3A2CF625" w14:textId="77777777" w:rsidR="00145C1E" w:rsidRDefault="00145C1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145C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15196" w14:textId="77777777" w:rsidR="00CB7F09" w:rsidRDefault="00CB7F09">
      <w:r>
        <w:separator/>
      </w:r>
    </w:p>
  </w:endnote>
  <w:endnote w:type="continuationSeparator" w:id="0">
    <w:p w14:paraId="2F1BD3E7" w14:textId="77777777" w:rsidR="00CB7F09" w:rsidRDefault="00CB7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A3F52" w14:textId="77777777" w:rsidR="00145C1E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0EC1850" w14:textId="77777777" w:rsidR="00145C1E" w:rsidRDefault="00145C1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61C5A" w14:textId="77777777" w:rsidR="00145C1E" w:rsidRDefault="00145C1E">
    <w:pPr>
      <w:pStyle w:val="a9"/>
      <w:framePr w:wrap="around" w:vAnchor="text" w:hAnchor="margin" w:xAlign="right" w:y="1"/>
      <w:rPr>
        <w:rStyle w:val="af2"/>
      </w:rPr>
    </w:pPr>
  </w:p>
  <w:p w14:paraId="2B4A7EA4" w14:textId="77777777" w:rsidR="00145C1E" w:rsidRDefault="00145C1E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2405D" w14:textId="77777777" w:rsidR="00145C1E" w:rsidRDefault="00145C1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7EF91" w14:textId="77777777" w:rsidR="00CB7F09" w:rsidRDefault="00CB7F09">
      <w:r>
        <w:separator/>
      </w:r>
    </w:p>
  </w:footnote>
  <w:footnote w:type="continuationSeparator" w:id="0">
    <w:p w14:paraId="4987E596" w14:textId="77777777" w:rsidR="00CB7F09" w:rsidRDefault="00CB7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A194C" w14:textId="77777777" w:rsidR="00145C1E" w:rsidRDefault="00145C1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37F79" w14:textId="77777777" w:rsidR="00145C1E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3BB5310" wp14:editId="046E75F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DAD21" w14:textId="77777777" w:rsidR="00145C1E" w:rsidRDefault="00145C1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346DBE"/>
    <w:multiLevelType w:val="singleLevel"/>
    <w:tmpl w:val="A1346DB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6DA9411"/>
    <w:multiLevelType w:val="singleLevel"/>
    <w:tmpl w:val="26DA9411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BD6A7EA"/>
    <w:multiLevelType w:val="singleLevel"/>
    <w:tmpl w:val="5BD6A7EA"/>
    <w:lvl w:ilvl="0">
      <w:start w:val="1"/>
      <w:numFmt w:val="decimal"/>
      <w:suff w:val="nothing"/>
      <w:lvlText w:val="%1、"/>
      <w:lvlJc w:val="left"/>
    </w:lvl>
  </w:abstractNum>
  <w:num w:numId="1" w16cid:durableId="142505040">
    <w:abstractNumId w:val="1"/>
  </w:num>
  <w:num w:numId="2" w16cid:durableId="1622565731">
    <w:abstractNumId w:val="0"/>
  </w:num>
  <w:num w:numId="3" w16cid:durableId="1091392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M0NzU0YTNkN2RjMDAyNTgyNWM4ZGU1MTYyNWIwYjk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5C1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7F09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10A3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1A57E2F"/>
    <w:rsid w:val="215A451A"/>
    <w:rsid w:val="288766CD"/>
    <w:rsid w:val="2CE9358C"/>
    <w:rsid w:val="2DAE28D1"/>
    <w:rsid w:val="32DC56D7"/>
    <w:rsid w:val="468C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01D2B2"/>
  <w15:docId w15:val="{59258AE0-60C7-494E-A030-B32A9F01B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242</Words>
  <Characters>1381</Characters>
  <Application>Microsoft Office Word</Application>
  <DocSecurity>0</DocSecurity>
  <Lines>11</Lines>
  <Paragraphs>3</Paragraphs>
  <ScaleCrop>false</ScaleCrop>
  <Company>WWW.YlmF.CoM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2023-02-13T09:13:00Z</dcterms:created>
  <dcterms:modified xsi:type="dcterms:W3CDTF">2023-02-13T09:13:00Z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A84D009CC37E4639B9A6C873DC654816</vt:lpwstr>
  </property>
</Properties>
</file>