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197CB6" w14:textId="77777777" w:rsidR="001D6A22" w:rsidRDefault="00000000">
      <w:pPr>
        <w:spacing w:beforeLines="100" w:before="240" w:afterLines="100" w:after="240"/>
        <w:jc w:val="center"/>
        <w:textAlignment w:val="baseline"/>
        <w:rPr>
          <w:rFonts w:ascii="微软雅黑" w:eastAsia="微软雅黑" w:hAnsi="微软雅黑"/>
          <w:b/>
          <w:kern w:val="0"/>
          <w:sz w:val="32"/>
          <w:szCs w:val="32"/>
        </w:rPr>
      </w:pPr>
      <w:r>
        <w:rPr>
          <w:rFonts w:ascii="微软雅黑" w:eastAsia="微软雅黑" w:hAnsi="微软雅黑" w:hint="eastAsia"/>
          <w:b/>
          <w:kern w:val="0"/>
          <w:sz w:val="32"/>
          <w:szCs w:val="32"/>
        </w:rPr>
        <w:t>圣火科技集团</w:t>
      </w:r>
    </w:p>
    <w:p w14:paraId="3FD24EA6" w14:textId="7EA44C47" w:rsidR="001D6A22" w:rsidRDefault="00000000">
      <w:pPr>
        <w:textAlignment w:val="baseline"/>
        <w:rPr>
          <w:rFonts w:ascii="微软雅黑" w:eastAsia="微软雅黑" w:hAnsi="微软雅黑"/>
          <w:b/>
        </w:rPr>
      </w:pPr>
      <w:r>
        <w:rPr>
          <w:rFonts w:ascii="微软雅黑" w:eastAsia="微软雅黑" w:hAnsi="微软雅黑" w:hint="eastAsia"/>
          <w:b/>
        </w:rPr>
        <w:t>官方网址</w:t>
      </w:r>
      <w:r>
        <w:rPr>
          <w:rFonts w:ascii="微软雅黑" w:eastAsia="微软雅黑" w:hAnsi="微软雅黑" w:hint="eastAsia"/>
        </w:rPr>
        <w:t>：</w:t>
      </w:r>
      <w:hyperlink r:id="rId8" w:history="1">
        <w:r w:rsidR="00B46839">
          <w:rPr>
            <w:rStyle w:val="af"/>
            <w:rFonts w:ascii="微软雅黑" w:eastAsia="微软雅黑" w:hAnsi="微软雅黑" w:hint="eastAsia"/>
          </w:rPr>
          <w:t>www.gdshcm.com</w:t>
        </w:r>
      </w:hyperlink>
    </w:p>
    <w:p w14:paraId="6263BB89" w14:textId="5F7D25F4" w:rsidR="001D6A22" w:rsidRPr="00B46839" w:rsidRDefault="00000000" w:rsidP="00B46839">
      <w:pPr>
        <w:rPr>
          <w:rFonts w:ascii="微软雅黑" w:eastAsia="微软雅黑" w:hAnsi="微软雅黑"/>
        </w:rPr>
      </w:pPr>
      <w:r>
        <w:rPr>
          <w:rFonts w:ascii="微软雅黑" w:eastAsia="微软雅黑" w:hAnsi="微软雅黑" w:hint="eastAsia"/>
          <w:b/>
        </w:rPr>
        <w:t>参选类别：</w:t>
      </w:r>
      <w:r w:rsidRPr="00B46839">
        <w:rPr>
          <w:rFonts w:ascii="微软雅黑" w:eastAsia="微软雅黑" w:hAnsi="微软雅黑" w:hint="eastAsia"/>
        </w:rPr>
        <w:t>年度数字营销</w:t>
      </w:r>
      <w:r w:rsidR="00780DB8">
        <w:rPr>
          <w:rFonts w:ascii="微软雅黑" w:eastAsia="微软雅黑" w:hAnsi="微软雅黑" w:hint="eastAsia"/>
        </w:rPr>
        <w:t>杰出服务商</w:t>
      </w:r>
    </w:p>
    <w:p w14:paraId="271E6CEF" w14:textId="77777777" w:rsidR="001D6A22" w:rsidRDefault="00000000">
      <w:pPr>
        <w:spacing w:before="100" w:beforeAutospacing="1" w:after="100" w:afterAutospacing="1"/>
        <w:rPr>
          <w:rFonts w:ascii="微软雅黑" w:eastAsia="微软雅黑" w:hAnsi="微软雅黑"/>
          <w:b/>
          <w:color w:val="0000FF"/>
          <w:sz w:val="28"/>
          <w:szCs w:val="24"/>
        </w:rPr>
      </w:pPr>
      <w:r>
        <w:rPr>
          <w:rFonts w:ascii="微软雅黑" w:eastAsia="微软雅黑" w:hAnsi="微软雅黑" w:cs="宋体" w:hint="eastAsia"/>
          <w:b/>
          <w:color w:val="C79E5B"/>
          <w:kern w:val="0"/>
          <w:sz w:val="28"/>
          <w:szCs w:val="24"/>
        </w:rPr>
        <w:t>公司简介及核心优势</w:t>
      </w:r>
    </w:p>
    <w:p w14:paraId="5545D175" w14:textId="01D6141F" w:rsidR="001D6A22" w:rsidRDefault="00B46839">
      <w:pPr>
        <w:spacing w:before="100" w:beforeAutospacing="1" w:after="100" w:afterAutospacing="1"/>
        <w:rPr>
          <w:rFonts w:ascii="微软雅黑" w:eastAsia="微软雅黑" w:hAnsi="微软雅黑"/>
          <w:b/>
        </w:rPr>
      </w:pPr>
      <w:r>
        <w:rPr>
          <w:rFonts w:ascii="微软雅黑" w:eastAsia="微软雅黑" w:hAnsi="微软雅黑" w:hint="eastAsia"/>
          <w:b/>
        </w:rPr>
        <w:t>一、公司简介</w:t>
      </w:r>
    </w:p>
    <w:p w14:paraId="72815E07"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广东圣火科技集团成立于2013年，总部位于广州市，旗下拥有一物一码、上海秀飞、龙</w:t>
      </w:r>
      <w:proofErr w:type="gramStart"/>
      <w:r>
        <w:rPr>
          <w:rFonts w:ascii="微软雅黑" w:eastAsia="微软雅黑" w:hAnsi="微软雅黑" w:hint="eastAsia"/>
          <w:bCs/>
        </w:rPr>
        <w:t>矍</w:t>
      </w:r>
      <w:proofErr w:type="gramEnd"/>
      <w:r>
        <w:rPr>
          <w:rFonts w:ascii="微软雅黑" w:eastAsia="微软雅黑" w:hAnsi="微软雅黑" w:hint="eastAsia"/>
          <w:bCs/>
        </w:rPr>
        <w:t>数字三家全资子公司，是一家以技术、大数据运维、创意为核心驱动力的</w:t>
      </w:r>
      <w:proofErr w:type="gramStart"/>
      <w:r>
        <w:rPr>
          <w:rFonts w:ascii="微软雅黑" w:eastAsia="微软雅黑" w:hAnsi="微软雅黑" w:hint="eastAsia"/>
          <w:bCs/>
        </w:rPr>
        <w:t>数智科技</w:t>
      </w:r>
      <w:proofErr w:type="gramEnd"/>
      <w:r>
        <w:rPr>
          <w:rFonts w:ascii="微软雅黑" w:eastAsia="微软雅黑" w:hAnsi="微软雅黑" w:hint="eastAsia"/>
          <w:bCs/>
        </w:rPr>
        <w:t>营销集团，为世界五百强和头部品牌提供战略咨询、创意策划、内容 运营、公关行销、元宇宙创意内容运营等服务，全链路为客户企业</w:t>
      </w:r>
      <w:proofErr w:type="gramStart"/>
      <w:r>
        <w:rPr>
          <w:rFonts w:ascii="微软雅黑" w:eastAsia="微软雅黑" w:hAnsi="微软雅黑" w:hint="eastAsia"/>
          <w:bCs/>
        </w:rPr>
        <w:t>数智经营</w:t>
      </w:r>
      <w:proofErr w:type="gramEnd"/>
      <w:r>
        <w:rPr>
          <w:rFonts w:ascii="微软雅黑" w:eastAsia="微软雅黑" w:hAnsi="微软雅黑" w:hint="eastAsia"/>
          <w:bCs/>
        </w:rPr>
        <w:t>赋能帮助企业数字化转型升级，实现</w:t>
      </w:r>
      <w:proofErr w:type="gramStart"/>
      <w:r>
        <w:rPr>
          <w:rFonts w:ascii="微软雅黑" w:eastAsia="微软雅黑" w:hAnsi="微软雅黑" w:hint="eastAsia"/>
          <w:bCs/>
        </w:rPr>
        <w:t>品效销</w:t>
      </w:r>
      <w:proofErr w:type="gramEnd"/>
      <w:r>
        <w:rPr>
          <w:rFonts w:ascii="微软雅黑" w:eastAsia="微软雅黑" w:hAnsi="微软雅黑" w:hint="eastAsia"/>
          <w:bCs/>
        </w:rPr>
        <w:t>一体化营销。</w:t>
      </w:r>
    </w:p>
    <w:p w14:paraId="0D80E3B1" w14:textId="66F1BB8E" w:rsidR="001D6A22" w:rsidRDefault="00B46839" w:rsidP="00B46839">
      <w:pPr>
        <w:spacing w:before="100" w:beforeAutospacing="1" w:after="100" w:afterAutospacing="1"/>
        <w:rPr>
          <w:rFonts w:ascii="微软雅黑" w:eastAsia="微软雅黑" w:hAnsi="微软雅黑"/>
          <w:b/>
        </w:rPr>
      </w:pPr>
      <w:r>
        <w:rPr>
          <w:rFonts w:ascii="微软雅黑" w:eastAsia="微软雅黑" w:hAnsi="微软雅黑" w:hint="eastAsia"/>
          <w:bCs/>
        </w:rPr>
        <w:t>二、</w:t>
      </w:r>
      <w:r>
        <w:rPr>
          <w:rFonts w:ascii="微软雅黑" w:eastAsia="微软雅黑" w:hAnsi="微软雅黑" w:hint="eastAsia"/>
          <w:b/>
        </w:rPr>
        <w:t>核心优势：</w:t>
      </w:r>
    </w:p>
    <w:p w14:paraId="24ABAFCE"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1、</w:t>
      </w:r>
      <w:proofErr w:type="gramStart"/>
      <w:r>
        <w:rPr>
          <w:rFonts w:ascii="微软雅黑" w:eastAsia="微软雅黑" w:hAnsi="微软雅黑" w:hint="eastAsia"/>
          <w:b/>
        </w:rPr>
        <w:t>物码全链路</w:t>
      </w:r>
      <w:proofErr w:type="gramEnd"/>
      <w:r>
        <w:rPr>
          <w:rFonts w:ascii="微软雅黑" w:eastAsia="微软雅黑" w:hAnsi="微软雅黑" w:hint="eastAsia"/>
          <w:b/>
        </w:rPr>
        <w:t>营销解决方案，助力世界五百强品牌</w:t>
      </w:r>
      <w:proofErr w:type="gramStart"/>
      <w:r>
        <w:rPr>
          <w:rFonts w:ascii="微软雅黑" w:eastAsia="微软雅黑" w:hAnsi="微软雅黑" w:hint="eastAsia"/>
          <w:b/>
        </w:rPr>
        <w:t>企业数智经营</w:t>
      </w:r>
      <w:proofErr w:type="gramEnd"/>
    </w:p>
    <w:p w14:paraId="698435A5"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为客户提供互动营销、渠道动销、</w:t>
      </w:r>
      <w:proofErr w:type="gramStart"/>
      <w:r>
        <w:rPr>
          <w:rFonts w:ascii="微软雅黑" w:eastAsia="微软雅黑" w:hAnsi="微软雅黑" w:hint="eastAsia"/>
          <w:bCs/>
        </w:rPr>
        <w:t>私域变现</w:t>
      </w:r>
      <w:proofErr w:type="gramEnd"/>
      <w:r>
        <w:rPr>
          <w:rFonts w:ascii="微软雅黑" w:eastAsia="微软雅黑" w:hAnsi="微软雅黑" w:hint="eastAsia"/>
          <w:bCs/>
        </w:rPr>
        <w:t>、</w:t>
      </w:r>
      <w:proofErr w:type="gramStart"/>
      <w:r>
        <w:rPr>
          <w:rFonts w:ascii="微软雅黑" w:eastAsia="微软雅黑" w:hAnsi="微软雅黑" w:hint="eastAsia"/>
          <w:bCs/>
        </w:rPr>
        <w:t>私域互通</w:t>
      </w:r>
      <w:proofErr w:type="gramEnd"/>
      <w:r>
        <w:rPr>
          <w:rFonts w:ascii="微软雅黑" w:eastAsia="微软雅黑" w:hAnsi="微软雅黑" w:hint="eastAsia"/>
          <w:bCs/>
        </w:rPr>
        <w:t>及产品的防伪溯源</w:t>
      </w:r>
      <w:proofErr w:type="gramStart"/>
      <w:r>
        <w:rPr>
          <w:rFonts w:ascii="微软雅黑" w:eastAsia="微软雅黑" w:hAnsi="微软雅黑" w:hint="eastAsia"/>
          <w:bCs/>
        </w:rPr>
        <w:t>防窜货，帮助快消</w:t>
      </w:r>
      <w:proofErr w:type="gramEnd"/>
      <w:r>
        <w:rPr>
          <w:rFonts w:ascii="微软雅黑" w:eastAsia="微软雅黑" w:hAnsi="微软雅黑" w:hint="eastAsia"/>
          <w:bCs/>
        </w:rPr>
        <w:t>零售行业</w:t>
      </w:r>
      <w:proofErr w:type="gramStart"/>
      <w:r>
        <w:rPr>
          <w:rFonts w:ascii="微软雅黑" w:eastAsia="微软雅黑" w:hAnsi="微软雅黑" w:hint="eastAsia"/>
          <w:bCs/>
        </w:rPr>
        <w:t>构建私域流量</w:t>
      </w:r>
      <w:proofErr w:type="gramEnd"/>
      <w:r>
        <w:rPr>
          <w:rFonts w:ascii="微软雅黑" w:eastAsia="微软雅黑" w:hAnsi="微软雅黑" w:hint="eastAsia"/>
          <w:bCs/>
        </w:rPr>
        <w:t>等服务。</w:t>
      </w:r>
    </w:p>
    <w:p w14:paraId="100AE38B"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公司作为数字化营销的引领者和变革者，致力于新产品、新技术、新模式的开发，与世界五百强和头部品牌建立的全链路数字化营销体系已经成为行业标杆，相关案例近两年内相继取得十多项行业大奖，自主研发共获得软件著作权73项，授权发明专利1项，在审发明专利3项，实用新型专利 1项，高新技术产品3项。</w:t>
      </w:r>
    </w:p>
    <w:p w14:paraId="0CC814DB" w14:textId="77777777" w:rsidR="001D6A22" w:rsidRDefault="00000000">
      <w:pPr>
        <w:spacing w:before="100" w:beforeAutospacing="1" w:after="100" w:afterAutospacing="1"/>
      </w:pPr>
      <w:r>
        <w:rPr>
          <w:noProof/>
        </w:rPr>
        <w:drawing>
          <wp:inline distT="0" distB="0" distL="114300" distR="114300" wp14:anchorId="1566F7F9" wp14:editId="2A43D27E">
            <wp:extent cx="5667375" cy="3188335"/>
            <wp:effectExtent l="0" t="0" r="952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667375" cy="3188335"/>
                    </a:xfrm>
                    <a:prstGeom prst="rect">
                      <a:avLst/>
                    </a:prstGeom>
                  </pic:spPr>
                </pic:pic>
              </a:graphicData>
            </a:graphic>
          </wp:inline>
        </w:drawing>
      </w:r>
    </w:p>
    <w:p w14:paraId="72D4C25D"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lastRenderedPageBreak/>
        <w:t>2、通过内部营销传播闭环的建立 重塑营销传播体系</w:t>
      </w:r>
    </w:p>
    <w:p w14:paraId="67315B73"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构建顾客和品牌的链接，围绕着数字化运营、驱动、基础、组织和生态系统建设完整的数字化能力体系，重塑增长方式，奠定未来增长动力，逐步有序地获取商业价值。</w:t>
      </w:r>
    </w:p>
    <w:p w14:paraId="6B8E39BE"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3、投资自有赋码采集设备，分布全国多地</w:t>
      </w:r>
    </w:p>
    <w:p w14:paraId="4A4A2E9A"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已在南京、苏州、扬州、淮安、杭州、合肥、成都 贵阳、昆明、西安、兰州、银川、乌鲁木齐等地设有大数据生产及数据采集基地。</w:t>
      </w:r>
    </w:p>
    <w:p w14:paraId="1AEA9819"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noProof/>
        </w:rPr>
        <w:drawing>
          <wp:inline distT="0" distB="0" distL="114300" distR="114300" wp14:anchorId="06EEE6BF" wp14:editId="1616DEFE">
            <wp:extent cx="5713730" cy="2733040"/>
            <wp:effectExtent l="0" t="0" r="1270" b="10160"/>
            <wp:docPr id="1" name="图片 1" descr="微信截图_2023013017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30130174454"/>
                    <pic:cNvPicPr>
                      <a:picLocks noChangeAspect="1"/>
                    </pic:cNvPicPr>
                  </pic:nvPicPr>
                  <pic:blipFill>
                    <a:blip r:embed="rId10"/>
                    <a:stretch>
                      <a:fillRect/>
                    </a:stretch>
                  </pic:blipFill>
                  <pic:spPr>
                    <a:xfrm>
                      <a:off x="0" y="0"/>
                      <a:ext cx="5713730" cy="2733040"/>
                    </a:xfrm>
                    <a:prstGeom prst="rect">
                      <a:avLst/>
                    </a:prstGeom>
                  </pic:spPr>
                </pic:pic>
              </a:graphicData>
            </a:graphic>
          </wp:inline>
        </w:drawing>
      </w:r>
    </w:p>
    <w:p w14:paraId="34D9BBDE"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公司年产值超一亿元，近年来荣获国家商务部“中国数字服务暨服务外包领军企业——百强企业”、“国家高新技术企业”、“中国一级广告企业”、“广东省专精特新企业”等荣誉。</w:t>
      </w:r>
    </w:p>
    <w:p w14:paraId="200903C0" w14:textId="77777777" w:rsidR="001D6A22" w:rsidRDefault="001D6A22">
      <w:pPr>
        <w:spacing w:before="100" w:beforeAutospacing="1" w:after="100" w:afterAutospacing="1"/>
      </w:pPr>
    </w:p>
    <w:p w14:paraId="14E196E6" w14:textId="77777777" w:rsidR="001D6A22"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cs="宋体" w:hint="eastAsia"/>
          <w:b/>
          <w:color w:val="C79E5B"/>
          <w:kern w:val="0"/>
          <w:sz w:val="28"/>
          <w:szCs w:val="24"/>
        </w:rPr>
        <w:t>数字营销领域突出成绩</w:t>
      </w:r>
    </w:p>
    <w:p w14:paraId="2D66A73C" w14:textId="77777777" w:rsidR="001D6A22" w:rsidRDefault="00000000">
      <w:pPr>
        <w:jc w:val="left"/>
        <w:rPr>
          <w:rFonts w:ascii="微软雅黑" w:eastAsia="微软雅黑" w:hAnsi="微软雅黑"/>
          <w:b/>
          <w:bCs/>
        </w:rPr>
      </w:pPr>
      <w:r>
        <w:rPr>
          <w:rFonts w:ascii="微软雅黑" w:eastAsia="微软雅黑" w:hAnsi="微软雅黑" w:hint="eastAsia"/>
          <w:b/>
          <w:bCs/>
        </w:rPr>
        <w:t>一、打造康师傅畅饮社C端会员管理小程序</w:t>
      </w:r>
    </w:p>
    <w:p w14:paraId="562A6CAE"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将全国各地零散公众号粉丝汇聚到康师傅</w:t>
      </w:r>
      <w:proofErr w:type="gramStart"/>
      <w:r>
        <w:rPr>
          <w:rFonts w:ascii="微软雅黑" w:eastAsia="微软雅黑" w:hAnsi="微软雅黑" w:hint="eastAsia"/>
          <w:bCs/>
        </w:rPr>
        <w:t>畅饮社小程序</w:t>
      </w:r>
      <w:proofErr w:type="gramEnd"/>
      <w:r>
        <w:rPr>
          <w:rFonts w:ascii="微软雅黑" w:eastAsia="微软雅黑" w:hAnsi="微软雅黑" w:hint="eastAsia"/>
          <w:bCs/>
        </w:rPr>
        <w:t>，通过有趣、新潮的营销工具、互动游戏、视频直播，实现康师傅粉丝生态圈增粉、促活。然后围绕小程序会员体系，进行粉丝数字化深度运营，</w:t>
      </w:r>
      <w:proofErr w:type="gramStart"/>
      <w:r>
        <w:rPr>
          <w:rFonts w:ascii="微软雅黑" w:eastAsia="微软雅黑" w:hAnsi="微软雅黑" w:hint="eastAsia"/>
          <w:bCs/>
        </w:rPr>
        <w:t>实现私域流量</w:t>
      </w:r>
      <w:proofErr w:type="gramEnd"/>
      <w:r>
        <w:rPr>
          <w:rFonts w:ascii="微软雅黑" w:eastAsia="微软雅黑" w:hAnsi="微软雅黑" w:hint="eastAsia"/>
          <w:bCs/>
        </w:rPr>
        <w:t>变现——扩大品牌声量和提升产品销量。</w:t>
      </w:r>
    </w:p>
    <w:p w14:paraId="34983EC8"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项目成就：</w:t>
      </w:r>
      <w:r>
        <w:rPr>
          <w:rFonts w:ascii="微软雅黑" w:eastAsia="微软雅黑" w:hAnsi="微软雅黑" w:hint="eastAsia"/>
          <w:bCs/>
        </w:rPr>
        <w:t>全年累计注册用户3400万＋人，</w:t>
      </w:r>
      <w:proofErr w:type="gramStart"/>
      <w:r>
        <w:rPr>
          <w:rFonts w:ascii="微软雅黑" w:eastAsia="微软雅黑" w:hAnsi="微软雅黑" w:hint="eastAsia"/>
          <w:bCs/>
        </w:rPr>
        <w:t>日活用户</w:t>
      </w:r>
      <w:proofErr w:type="gramEnd"/>
      <w:r>
        <w:rPr>
          <w:rFonts w:ascii="微软雅黑" w:eastAsia="微软雅黑" w:hAnsi="微软雅黑" w:hint="eastAsia"/>
          <w:bCs/>
        </w:rPr>
        <w:t>20万人，开展营销活动10000场。</w:t>
      </w:r>
    </w:p>
    <w:p w14:paraId="4FAD43E4"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noProof/>
        </w:rPr>
        <w:lastRenderedPageBreak/>
        <w:drawing>
          <wp:inline distT="0" distB="0" distL="114300" distR="114300" wp14:anchorId="06757332" wp14:editId="62D0EC20">
            <wp:extent cx="5692140" cy="4268470"/>
            <wp:effectExtent l="0" t="0" r="3810" b="17780"/>
            <wp:docPr id="2" name="图片 2" descr="案例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案例海报"/>
                    <pic:cNvPicPr>
                      <a:picLocks noChangeAspect="1"/>
                    </pic:cNvPicPr>
                  </pic:nvPicPr>
                  <pic:blipFill>
                    <a:blip r:embed="rId11"/>
                    <a:stretch>
                      <a:fillRect/>
                    </a:stretch>
                  </pic:blipFill>
                  <pic:spPr>
                    <a:xfrm>
                      <a:off x="0" y="0"/>
                      <a:ext cx="5692140" cy="4268470"/>
                    </a:xfrm>
                    <a:prstGeom prst="rect">
                      <a:avLst/>
                    </a:prstGeom>
                  </pic:spPr>
                </pic:pic>
              </a:graphicData>
            </a:graphic>
          </wp:inline>
        </w:drawing>
      </w:r>
    </w:p>
    <w:p w14:paraId="45125560"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二、康师傅冰红茶“</w:t>
      </w:r>
      <w:proofErr w:type="gramStart"/>
      <w:r>
        <w:rPr>
          <w:rFonts w:ascii="微软雅黑" w:eastAsia="微软雅黑" w:hAnsi="微软雅黑" w:hint="eastAsia"/>
          <w:b/>
        </w:rPr>
        <w:t>潮玩燃造店</w:t>
      </w:r>
      <w:proofErr w:type="gramEnd"/>
      <w:r>
        <w:rPr>
          <w:rFonts w:ascii="微软雅黑" w:eastAsia="微软雅黑" w:hAnsi="微软雅黑" w:hint="eastAsia"/>
          <w:b/>
        </w:rPr>
        <w:t>，揭盖</w:t>
      </w:r>
      <w:proofErr w:type="gramStart"/>
      <w:r>
        <w:rPr>
          <w:rFonts w:ascii="微软雅黑" w:eastAsia="微软雅黑" w:hAnsi="微软雅黑" w:hint="eastAsia"/>
          <w:b/>
        </w:rPr>
        <w:t>赢潮品</w:t>
      </w:r>
      <w:proofErr w:type="gramEnd"/>
      <w:r>
        <w:rPr>
          <w:rFonts w:ascii="微软雅黑" w:eastAsia="微软雅黑" w:hAnsi="微软雅黑" w:hint="eastAsia"/>
          <w:b/>
        </w:rPr>
        <w:t>”智能营销</w:t>
      </w:r>
    </w:p>
    <w:p w14:paraId="6B620BA7"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通过在瓶盖上粘贴营销二维码，消费者购买康师傅冰红茶瓶装饮品，即可揭盖扫码，进入康师傅</w:t>
      </w:r>
      <w:proofErr w:type="gramStart"/>
      <w:r>
        <w:rPr>
          <w:rFonts w:ascii="微软雅黑" w:eastAsia="微软雅黑" w:hAnsi="微软雅黑" w:hint="eastAsia"/>
          <w:bCs/>
        </w:rPr>
        <w:t>畅饮社小程序</w:t>
      </w:r>
      <w:proofErr w:type="gramEnd"/>
      <w:r>
        <w:rPr>
          <w:rFonts w:ascii="微软雅黑" w:eastAsia="微软雅黑" w:hAnsi="微软雅黑" w:hint="eastAsia"/>
          <w:bCs/>
        </w:rPr>
        <w:t>，通过“</w:t>
      </w:r>
      <w:proofErr w:type="gramStart"/>
      <w:r>
        <w:rPr>
          <w:rFonts w:ascii="微软雅黑" w:eastAsia="微软雅黑" w:hAnsi="微软雅黑" w:hint="eastAsia"/>
          <w:bCs/>
        </w:rPr>
        <w:t>潮玩燃造店</w:t>
      </w:r>
      <w:proofErr w:type="gramEnd"/>
      <w:r>
        <w:rPr>
          <w:rFonts w:ascii="微软雅黑" w:eastAsia="微软雅黑" w:hAnsi="微软雅黑" w:hint="eastAsia"/>
          <w:bCs/>
        </w:rPr>
        <w:t>”抽奖、兑奖、</w:t>
      </w:r>
      <w:proofErr w:type="gramStart"/>
      <w:r>
        <w:rPr>
          <w:rFonts w:ascii="微软雅黑" w:eastAsia="微软雅黑" w:hAnsi="微软雅黑" w:hint="eastAsia"/>
          <w:bCs/>
        </w:rPr>
        <w:t>竞品等</w:t>
      </w:r>
      <w:proofErr w:type="gramEnd"/>
      <w:r>
        <w:rPr>
          <w:rFonts w:ascii="微软雅黑" w:eastAsia="微软雅黑" w:hAnsi="微软雅黑" w:hint="eastAsia"/>
          <w:bCs/>
        </w:rPr>
        <w:t>方式获得奖品及优惠券，引导线下复购，从而结合线上线下营销，提高产品销量。</w:t>
      </w:r>
    </w:p>
    <w:p w14:paraId="2B660652"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项目成就：</w:t>
      </w:r>
      <w:r>
        <w:rPr>
          <w:rFonts w:ascii="微软雅黑" w:eastAsia="微软雅黑" w:hAnsi="微软雅黑" w:hint="eastAsia"/>
          <w:bCs/>
        </w:rPr>
        <w:t>活动浏览量6929万次，</w:t>
      </w:r>
      <w:proofErr w:type="gramStart"/>
      <w:r>
        <w:rPr>
          <w:rFonts w:ascii="微软雅黑" w:eastAsia="微软雅黑" w:hAnsi="微软雅黑" w:hint="eastAsia"/>
          <w:bCs/>
        </w:rPr>
        <w:t>拉新人数</w:t>
      </w:r>
      <w:proofErr w:type="gramEnd"/>
      <w:r>
        <w:rPr>
          <w:rFonts w:ascii="微软雅黑" w:eastAsia="微软雅黑" w:hAnsi="微软雅黑" w:hint="eastAsia"/>
          <w:bCs/>
        </w:rPr>
        <w:t>1375万人，</w:t>
      </w:r>
      <w:proofErr w:type="gramStart"/>
      <w:r>
        <w:rPr>
          <w:rFonts w:ascii="微软雅黑" w:eastAsia="微软雅黑" w:hAnsi="微软雅黑" w:hint="eastAsia"/>
          <w:bCs/>
        </w:rPr>
        <w:t>扫码瓶</w:t>
      </w:r>
      <w:proofErr w:type="gramEnd"/>
      <w:r>
        <w:rPr>
          <w:rFonts w:ascii="微软雅黑" w:eastAsia="微软雅黑" w:hAnsi="微软雅黑" w:hint="eastAsia"/>
          <w:bCs/>
        </w:rPr>
        <w:t>数1448万瓶。</w:t>
      </w:r>
    </w:p>
    <w:p w14:paraId="040D4CFD" w14:textId="77777777" w:rsidR="001D6A22" w:rsidRDefault="001D6A22">
      <w:pPr>
        <w:spacing w:before="100" w:beforeAutospacing="1" w:after="100" w:afterAutospacing="1"/>
        <w:rPr>
          <w:rFonts w:ascii="微软雅黑" w:eastAsia="微软雅黑" w:hAnsi="微软雅黑"/>
          <w:bCs/>
        </w:rPr>
      </w:pPr>
    </w:p>
    <w:p w14:paraId="0D4F272F"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三、康师傅饮品“加康加年味”CNY营销</w:t>
      </w:r>
    </w:p>
    <w:p w14:paraId="309EDC10"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康师傅饮品围绕“加康加年味”这一理念，深度绑定综艺IP《集合！开心果》、打造创意短片、策划“见</w:t>
      </w:r>
      <w:proofErr w:type="gramStart"/>
      <w:r>
        <w:rPr>
          <w:rFonts w:ascii="微软雅黑" w:eastAsia="微软雅黑" w:hAnsi="微软雅黑" w:hint="eastAsia"/>
          <w:bCs/>
        </w:rPr>
        <w:t>康赢好</w:t>
      </w:r>
      <w:proofErr w:type="gramEnd"/>
      <w:r>
        <w:rPr>
          <w:rFonts w:ascii="微软雅黑" w:eastAsia="微软雅黑" w:hAnsi="微软雅黑" w:hint="eastAsia"/>
          <w:bCs/>
        </w:rPr>
        <w:t>礼”AR活动、上线“康师傅饮品年味集市”小程序、整合</w:t>
      </w:r>
      <w:proofErr w:type="gramStart"/>
      <w:r>
        <w:rPr>
          <w:rFonts w:ascii="微软雅黑" w:eastAsia="微软雅黑" w:hAnsi="微软雅黑" w:hint="eastAsia"/>
          <w:bCs/>
        </w:rPr>
        <w:t>微信朋友圈广告</w:t>
      </w:r>
      <w:proofErr w:type="gramEnd"/>
      <w:r>
        <w:rPr>
          <w:rFonts w:ascii="微软雅黑" w:eastAsia="微软雅黑" w:hAnsi="微软雅黑" w:hint="eastAsia"/>
          <w:bCs/>
        </w:rPr>
        <w:t>渠道，精准</w:t>
      </w:r>
      <w:proofErr w:type="gramStart"/>
      <w:r>
        <w:rPr>
          <w:rFonts w:ascii="微软雅黑" w:eastAsia="微软雅黑" w:hAnsi="微软雅黑" w:hint="eastAsia"/>
          <w:bCs/>
        </w:rPr>
        <w:t>捕</w:t>
      </w:r>
      <w:proofErr w:type="gramEnd"/>
      <w:r>
        <w:rPr>
          <w:rFonts w:ascii="微软雅黑" w:eastAsia="微软雅黑" w:hAnsi="微软雅黑" w:hint="eastAsia"/>
          <w:bCs/>
        </w:rPr>
        <w:t>时下年轻人喜好，用“康”文化赋能品牌，为品牌理念构建传播基石。</w:t>
      </w:r>
    </w:p>
    <w:p w14:paraId="596D2F2C"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项目成就：</w:t>
      </w:r>
      <w:proofErr w:type="gramStart"/>
      <w:r>
        <w:rPr>
          <w:rFonts w:ascii="微软雅黑" w:eastAsia="微软雅黑" w:hAnsi="微软雅黑" w:hint="eastAsia"/>
          <w:bCs/>
        </w:rPr>
        <w:t>扫康人数</w:t>
      </w:r>
      <w:proofErr w:type="gramEnd"/>
      <w:r>
        <w:rPr>
          <w:rFonts w:ascii="微软雅黑" w:eastAsia="微软雅黑" w:hAnsi="微软雅黑" w:hint="eastAsia"/>
          <w:bCs/>
        </w:rPr>
        <w:t>160万人，新增人数153万人，开奖次数1609万次。</w:t>
      </w:r>
    </w:p>
    <w:p w14:paraId="4CB79143" w14:textId="77777777" w:rsidR="001D6A22" w:rsidRDefault="001D6A22">
      <w:pPr>
        <w:spacing w:before="100" w:beforeAutospacing="1" w:after="100" w:afterAutospacing="1"/>
        <w:rPr>
          <w:rFonts w:ascii="微软雅黑" w:eastAsia="微软雅黑" w:hAnsi="微软雅黑"/>
          <w:bCs/>
        </w:rPr>
      </w:pPr>
    </w:p>
    <w:p w14:paraId="394C8EDB"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四、康师傅冰红茶/无糖冰红茶新品发布营销案例</w:t>
      </w:r>
    </w:p>
    <w:p w14:paraId="49114764"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lastRenderedPageBreak/>
        <w:t>2022年2月，通过行业首个无标签包装概念，利用绿色低碳环保话题制造行业</w:t>
      </w:r>
      <w:proofErr w:type="gramStart"/>
      <w:r>
        <w:rPr>
          <w:rFonts w:ascii="微软雅黑" w:eastAsia="微软雅黑" w:hAnsi="微软雅黑" w:hint="eastAsia"/>
          <w:bCs/>
        </w:rPr>
        <w:t>现象级</w:t>
      </w:r>
      <w:proofErr w:type="gramEnd"/>
      <w:r>
        <w:rPr>
          <w:rFonts w:ascii="微软雅黑" w:eastAsia="微软雅黑" w:hAnsi="微软雅黑" w:hint="eastAsia"/>
          <w:bCs/>
        </w:rPr>
        <w:t>营销事件，为打造行业首个无标签产品攒足亮点，强化康师傅品牌绿色环保概念，市场占位，促进销量提升。康师傅冰红茶系列首次推出系列“裸”瓶设计，制造话题引起舆论，带动</w:t>
      </w:r>
      <w:proofErr w:type="gramStart"/>
      <w:r>
        <w:rPr>
          <w:rFonts w:ascii="微软雅黑" w:eastAsia="微软雅黑" w:hAnsi="微软雅黑" w:hint="eastAsia"/>
          <w:bCs/>
        </w:rPr>
        <w:t>微博热搜</w:t>
      </w:r>
      <w:proofErr w:type="gramEnd"/>
      <w:r>
        <w:rPr>
          <w:rFonts w:ascii="微软雅黑" w:eastAsia="微软雅黑" w:hAnsi="微软雅黑" w:hint="eastAsia"/>
          <w:bCs/>
        </w:rPr>
        <w:t>、公众号发文，聚焦大众视线，KOL大号持续发酵，助</w:t>
      </w:r>
      <w:proofErr w:type="gramStart"/>
      <w:r>
        <w:rPr>
          <w:rFonts w:ascii="微软雅黑" w:eastAsia="微软雅黑" w:hAnsi="微软雅黑" w:hint="eastAsia"/>
          <w:bCs/>
        </w:rPr>
        <w:t>推品牌</w:t>
      </w:r>
      <w:proofErr w:type="gramEnd"/>
      <w:r>
        <w:rPr>
          <w:rFonts w:ascii="微软雅黑" w:eastAsia="微软雅黑" w:hAnsi="微软雅黑" w:hint="eastAsia"/>
          <w:bCs/>
        </w:rPr>
        <w:t>新品</w:t>
      </w:r>
      <w:proofErr w:type="gramStart"/>
      <w:r>
        <w:rPr>
          <w:rFonts w:ascii="微软雅黑" w:eastAsia="微软雅黑" w:hAnsi="微软雅黑" w:hint="eastAsia"/>
          <w:bCs/>
        </w:rPr>
        <w:t>提升转化率</w:t>
      </w:r>
      <w:proofErr w:type="gramEnd"/>
      <w:r>
        <w:rPr>
          <w:rFonts w:ascii="微软雅黑" w:eastAsia="微软雅黑" w:hAnsi="微软雅黑" w:hint="eastAsia"/>
          <w:bCs/>
        </w:rPr>
        <w:t>。</w:t>
      </w:r>
    </w:p>
    <w:p w14:paraId="36ECAD62"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营销效果：</w:t>
      </w:r>
      <w:r>
        <w:rPr>
          <w:rFonts w:ascii="微软雅黑" w:eastAsia="微软雅黑" w:hAnsi="微软雅黑" w:hint="eastAsia"/>
          <w:bCs/>
        </w:rPr>
        <w:t>活动</w:t>
      </w:r>
      <w:proofErr w:type="gramStart"/>
      <w:r>
        <w:rPr>
          <w:rFonts w:ascii="微软雅黑" w:eastAsia="微软雅黑" w:hAnsi="微软雅黑" w:hint="eastAsia"/>
          <w:bCs/>
        </w:rPr>
        <w:t>复购率</w:t>
      </w:r>
      <w:proofErr w:type="gramEnd"/>
      <w:r>
        <w:rPr>
          <w:rFonts w:ascii="微软雅黑" w:eastAsia="微软雅黑" w:hAnsi="微软雅黑" w:hint="eastAsia"/>
          <w:bCs/>
        </w:rPr>
        <w:t>55%，覆盖人群5000万+，带动销售50万箱。</w:t>
      </w:r>
    </w:p>
    <w:p w14:paraId="30C44B37" w14:textId="77777777" w:rsidR="001D6A22" w:rsidRDefault="00000000">
      <w:pPr>
        <w:spacing w:before="100" w:beforeAutospacing="1" w:after="100" w:afterAutospacing="1"/>
        <w:jc w:val="center"/>
        <w:rPr>
          <w:rFonts w:ascii="微软雅黑" w:eastAsia="微软雅黑" w:hAnsi="微软雅黑"/>
          <w:bCs/>
        </w:rPr>
      </w:pPr>
      <w:r>
        <w:rPr>
          <w:noProof/>
        </w:rPr>
        <w:drawing>
          <wp:inline distT="0" distB="0" distL="114300" distR="114300" wp14:anchorId="03FF72DA" wp14:editId="79E5C5E5">
            <wp:extent cx="4354195" cy="3373120"/>
            <wp:effectExtent l="0" t="0" r="8255" b="17780"/>
            <wp:docPr id="41" name="Picture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54195" cy="3373120"/>
                    </a:xfrm>
                    <a:prstGeom prst="rect">
                      <a:avLst/>
                    </a:prstGeom>
                    <a:noFill/>
                  </pic:spPr>
                </pic:pic>
              </a:graphicData>
            </a:graphic>
          </wp:inline>
        </w:drawing>
      </w:r>
    </w:p>
    <w:p w14:paraId="758642D0"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五、康师傅冰</w:t>
      </w:r>
      <w:proofErr w:type="gramStart"/>
      <w:r>
        <w:rPr>
          <w:rFonts w:ascii="微软雅黑" w:eastAsia="微软雅黑" w:hAnsi="微软雅黑" w:hint="eastAsia"/>
          <w:b/>
        </w:rPr>
        <w:t>红茶超燃</w:t>
      </w:r>
      <w:proofErr w:type="gramEnd"/>
      <w:r>
        <w:rPr>
          <w:rFonts w:ascii="微软雅黑" w:eastAsia="微软雅黑" w:hAnsi="微软雅黑" w:hint="eastAsia"/>
          <w:b/>
        </w:rPr>
        <w:t>3X联赛体育营销服务案例</w:t>
      </w:r>
    </w:p>
    <w:p w14:paraId="3ABE0A7E"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2022年5-7月，以“燃情夏日，</w:t>
      </w:r>
      <w:proofErr w:type="gramStart"/>
      <w:r>
        <w:rPr>
          <w:rFonts w:ascii="微软雅黑" w:eastAsia="微软雅黑" w:hAnsi="微软雅黑" w:hint="eastAsia"/>
          <w:bCs/>
        </w:rPr>
        <w:t>冰爽够</w:t>
      </w:r>
      <w:proofErr w:type="gramEnd"/>
      <w:r>
        <w:rPr>
          <w:rFonts w:ascii="微软雅黑" w:eastAsia="微软雅黑" w:hAnsi="微软雅黑" w:hint="eastAsia"/>
          <w:bCs/>
        </w:rPr>
        <w:t>痛快”为主题，在校园掀起一场体育风暴，打造以“活力”、“青春”为基调，深受年轻人欢迎的“超燃”篮球赛事，将康师傅冰红茶 与3X篮球联赛“强势捆绑”。与原创</w:t>
      </w:r>
      <w:proofErr w:type="gramStart"/>
      <w:r>
        <w:rPr>
          <w:rFonts w:ascii="微软雅黑" w:eastAsia="微软雅黑" w:hAnsi="微软雅黑" w:hint="eastAsia"/>
          <w:bCs/>
        </w:rPr>
        <w:t>热血国漫</w:t>
      </w:r>
      <w:proofErr w:type="gramEnd"/>
      <w:r>
        <w:rPr>
          <w:rFonts w:ascii="微软雅黑" w:eastAsia="微软雅黑" w:hAnsi="微软雅黑" w:hint="eastAsia"/>
          <w:bCs/>
        </w:rPr>
        <w:t>《左手上篮》深层绑定，</w:t>
      </w:r>
      <w:proofErr w:type="gramStart"/>
      <w:r>
        <w:rPr>
          <w:rFonts w:ascii="微软雅黑" w:eastAsia="微软雅黑" w:hAnsi="微软雅黑" w:hint="eastAsia"/>
          <w:bCs/>
        </w:rPr>
        <w:t>破圈吸引</w:t>
      </w:r>
      <w:proofErr w:type="gramEnd"/>
      <w:r>
        <w:rPr>
          <w:rFonts w:ascii="微软雅黑" w:eastAsia="微软雅黑" w:hAnsi="微软雅黑" w:hint="eastAsia"/>
          <w:bCs/>
        </w:rPr>
        <w:t>粉丝的同时，进一步为品牌和产品注入青春活力，助力</w:t>
      </w:r>
      <w:proofErr w:type="gramStart"/>
      <w:r>
        <w:rPr>
          <w:rFonts w:ascii="微软雅黑" w:eastAsia="微软雅黑" w:hAnsi="微软雅黑" w:hint="eastAsia"/>
          <w:bCs/>
        </w:rPr>
        <w:t>国民级</w:t>
      </w:r>
      <w:proofErr w:type="gramEnd"/>
      <w:r>
        <w:rPr>
          <w:rFonts w:ascii="微软雅黑" w:eastAsia="微软雅黑" w:hAnsi="微软雅黑" w:hint="eastAsia"/>
          <w:bCs/>
        </w:rPr>
        <w:t>篮球流行文化的打造，坚定年轻群体的文化自信。比赛现场同步直播。门户网站、视频平台实时更新赛况，引导用户参与内容共创，释放品牌被发现和传播的价值。利用篮球知名KOL（阿不都、巴特尔等）的影响力，传播精彩赛事内容，产品融入曝光。以产品上的营销</w:t>
      </w:r>
      <w:proofErr w:type="gramStart"/>
      <w:r>
        <w:rPr>
          <w:rFonts w:ascii="微软雅黑" w:eastAsia="微软雅黑" w:hAnsi="微软雅黑" w:hint="eastAsia"/>
          <w:bCs/>
        </w:rPr>
        <w:t>二维码作为</w:t>
      </w:r>
      <w:proofErr w:type="gramEnd"/>
      <w:r>
        <w:rPr>
          <w:rFonts w:ascii="微软雅黑" w:eastAsia="微软雅黑" w:hAnsi="微软雅黑" w:hint="eastAsia"/>
          <w:bCs/>
        </w:rPr>
        <w:t>媒介传播触点，消费者</w:t>
      </w:r>
      <w:proofErr w:type="gramStart"/>
      <w:r>
        <w:rPr>
          <w:rFonts w:ascii="微软雅黑" w:eastAsia="微软雅黑" w:hAnsi="微软雅黑" w:hint="eastAsia"/>
          <w:bCs/>
        </w:rPr>
        <w:t>扫码参与</w:t>
      </w:r>
      <w:proofErr w:type="gramEnd"/>
      <w:r>
        <w:rPr>
          <w:rFonts w:ascii="微软雅黑" w:eastAsia="微软雅黑" w:hAnsi="微软雅黑" w:hint="eastAsia"/>
          <w:bCs/>
        </w:rPr>
        <w:t>有奖竞猜，品牌信息得到曝光，同时促进产品销量。</w:t>
      </w:r>
    </w:p>
    <w:p w14:paraId="27A55107"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营销效果：</w:t>
      </w:r>
      <w:r>
        <w:rPr>
          <w:rFonts w:ascii="微软雅黑" w:eastAsia="微软雅黑" w:hAnsi="微软雅黑" w:hint="eastAsia"/>
          <w:bCs/>
        </w:rPr>
        <w:t>活动</w:t>
      </w:r>
      <w:proofErr w:type="gramStart"/>
      <w:r>
        <w:rPr>
          <w:rFonts w:ascii="微软雅黑" w:eastAsia="微软雅黑" w:hAnsi="微软雅黑" w:hint="eastAsia"/>
          <w:bCs/>
        </w:rPr>
        <w:t>复购率</w:t>
      </w:r>
      <w:proofErr w:type="gramEnd"/>
      <w:r>
        <w:rPr>
          <w:rFonts w:ascii="微软雅黑" w:eastAsia="微软雅黑" w:hAnsi="微软雅黑" w:hint="eastAsia"/>
          <w:bCs/>
        </w:rPr>
        <w:t>65%，覆盖人群4万+，全网传播曝光8千万+。</w:t>
      </w:r>
    </w:p>
    <w:p w14:paraId="0C223770" w14:textId="77777777" w:rsidR="001D6A22" w:rsidRDefault="00000000">
      <w:pPr>
        <w:spacing w:before="100" w:beforeAutospacing="1" w:after="100" w:afterAutospacing="1"/>
        <w:rPr>
          <w:rFonts w:ascii="微软雅黑" w:eastAsia="微软雅黑" w:hAnsi="微软雅黑"/>
          <w:bCs/>
        </w:rPr>
      </w:pPr>
      <w:r>
        <w:rPr>
          <w:noProof/>
        </w:rPr>
        <w:lastRenderedPageBreak/>
        <w:drawing>
          <wp:inline distT="0" distB="0" distL="114300" distR="114300" wp14:anchorId="7EE5E4F0" wp14:editId="548CCA0A">
            <wp:extent cx="5664200" cy="2469515"/>
            <wp:effectExtent l="0" t="0" r="12700" b="698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4200" cy="2469515"/>
                    </a:xfrm>
                    <a:prstGeom prst="rect">
                      <a:avLst/>
                    </a:prstGeom>
                  </pic:spPr>
                </pic:pic>
              </a:graphicData>
            </a:graphic>
          </wp:inline>
        </w:drawing>
      </w:r>
    </w:p>
    <w:p w14:paraId="17B57884"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六、康师傅喝开水训练营体育营销服务案例</w:t>
      </w:r>
    </w:p>
    <w:p w14:paraId="27DD159B"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2022年6-8月，康师傅喝开水打造#沸腾新势力#篮球训练营，</w:t>
      </w:r>
      <w:proofErr w:type="gramStart"/>
      <w:r>
        <w:rPr>
          <w:rFonts w:ascii="微软雅黑" w:eastAsia="微软雅黑" w:hAnsi="微软雅黑" w:hint="eastAsia"/>
          <w:bCs/>
        </w:rPr>
        <w:t>焕</w:t>
      </w:r>
      <w:proofErr w:type="gramEnd"/>
      <w:r>
        <w:rPr>
          <w:rFonts w:ascii="微软雅黑" w:eastAsia="微软雅黑" w:hAnsi="微软雅黑" w:hint="eastAsia"/>
          <w:bCs/>
        </w:rPr>
        <w:t>新运动社交新模式,强化场景教育,建立“沸腾新势力”的新态度，给全国篮球爱好者搭建了一个相互交流学习展现自我的平台。康师傅喝开水渗透到篮球圈层并深度沟通，洞察核心消费人群的关注点，让产品植入到运动消费场景中。以篮球运动为载体媒介打造全国性的体育营销事件，花式出圈，线上线下共同助力，吸引更多篮球爱好者等目标人群来到现场入营，汇聚人气，引爆喝开水训练营流量，达到宣传推广、拉动消费的效益。</w:t>
      </w:r>
    </w:p>
    <w:p w14:paraId="679290E1"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营销效果：</w:t>
      </w:r>
      <w:r>
        <w:rPr>
          <w:rFonts w:ascii="微软雅黑" w:eastAsia="微软雅黑" w:hAnsi="微软雅黑" w:hint="eastAsia"/>
          <w:bCs/>
        </w:rPr>
        <w:t>全网阅读量600万+，</w:t>
      </w:r>
      <w:proofErr w:type="gramStart"/>
      <w:r>
        <w:rPr>
          <w:rFonts w:ascii="微软雅黑" w:eastAsia="微软雅黑" w:hAnsi="微软雅黑" w:hint="eastAsia"/>
          <w:bCs/>
        </w:rPr>
        <w:t>触达人群</w:t>
      </w:r>
      <w:proofErr w:type="gramEnd"/>
      <w:r>
        <w:rPr>
          <w:rFonts w:ascii="微软雅黑" w:eastAsia="微软雅黑" w:hAnsi="微软雅黑" w:hint="eastAsia"/>
          <w:bCs/>
        </w:rPr>
        <w:t>490万+，拉动销售100万箱+。</w:t>
      </w:r>
    </w:p>
    <w:p w14:paraId="7CCD0311" w14:textId="77777777" w:rsidR="001D6A22" w:rsidRDefault="001D6A22">
      <w:pPr>
        <w:spacing w:before="100" w:beforeAutospacing="1" w:after="100" w:afterAutospacing="1"/>
        <w:rPr>
          <w:rFonts w:ascii="微软雅黑" w:eastAsia="微软雅黑" w:hAnsi="微软雅黑"/>
          <w:bCs/>
        </w:rPr>
      </w:pPr>
    </w:p>
    <w:p w14:paraId="5FFBA2A1"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七、康师傅无糖冰红茶舞动无界街舞挑战赛营销案例</w:t>
      </w:r>
    </w:p>
    <w:p w14:paraId="539AD347"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2022年6-8月，打造的康师傅无糖冰红茶舞动无界街舞挑战赛。无糖冰红茶全新顶流代言人王一博，自带明星流量以及号召力，结合代言人身上的潮流气息，融合街舞文化中的潮酷、激情和无界限，契合康师傅无糖冰红茶的品牌属性；康师傅无糖冰红茶赞助大火综艺节目《这就是街舞》，同时与本地商超、CVS</w:t>
      </w:r>
      <w:proofErr w:type="gramStart"/>
      <w:r>
        <w:rPr>
          <w:rFonts w:ascii="微软雅黑" w:eastAsia="微软雅黑" w:hAnsi="微软雅黑" w:hint="eastAsia"/>
          <w:bCs/>
        </w:rPr>
        <w:t>店配合</w:t>
      </w:r>
      <w:proofErr w:type="gramEnd"/>
      <w:r>
        <w:rPr>
          <w:rFonts w:ascii="微软雅黑" w:eastAsia="微软雅黑" w:hAnsi="微软雅黑" w:hint="eastAsia"/>
          <w:bCs/>
        </w:rPr>
        <w:t>联动，吸引粉丝的同时，利用超市的人流量最大程度扩大赛事影响度，达成合作共赢的联手效果。互动H5、视频、KOL加持、娱乐直播平台、户外推广整合活动亮点及UGC作品，多方位加强活动效果的传播。</w:t>
      </w:r>
    </w:p>
    <w:p w14:paraId="75A82DFF"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营销效果：</w:t>
      </w:r>
      <w:r>
        <w:rPr>
          <w:rFonts w:ascii="微软雅黑" w:eastAsia="微软雅黑" w:hAnsi="微软雅黑" w:hint="eastAsia"/>
          <w:bCs/>
        </w:rPr>
        <w:t>活动销售150万箱，曝光覆盖5亿+，</w:t>
      </w:r>
      <w:proofErr w:type="gramStart"/>
      <w:r>
        <w:rPr>
          <w:rFonts w:ascii="微软雅黑" w:eastAsia="微软雅黑" w:hAnsi="微软雅黑" w:hint="eastAsia"/>
          <w:bCs/>
        </w:rPr>
        <w:t>精准触达人群</w:t>
      </w:r>
      <w:proofErr w:type="gramEnd"/>
      <w:r>
        <w:rPr>
          <w:rFonts w:ascii="微软雅黑" w:eastAsia="微软雅黑" w:hAnsi="微软雅黑" w:hint="eastAsia"/>
          <w:bCs/>
        </w:rPr>
        <w:t>8500万+。</w:t>
      </w:r>
    </w:p>
    <w:p w14:paraId="4FF97C5B" w14:textId="77777777" w:rsidR="001D6A22" w:rsidRDefault="001D6A22">
      <w:pPr>
        <w:spacing w:before="100" w:beforeAutospacing="1" w:after="100" w:afterAutospacing="1"/>
        <w:rPr>
          <w:rFonts w:ascii="微软雅黑" w:eastAsia="微软雅黑" w:hAnsi="微软雅黑"/>
          <w:bCs/>
        </w:rPr>
      </w:pPr>
    </w:p>
    <w:p w14:paraId="31249E7A" w14:textId="77777777" w:rsidR="001D6A22" w:rsidRDefault="00000000">
      <w:pPr>
        <w:spacing w:before="100" w:beforeAutospacing="1" w:after="100" w:afterAutospacing="1"/>
        <w:textAlignment w:val="baseline"/>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服务的主要客户</w:t>
      </w:r>
    </w:p>
    <w:p w14:paraId="64E08BFB" w14:textId="77777777" w:rsidR="001D6A22" w:rsidRDefault="00000000">
      <w:pPr>
        <w:spacing w:before="100" w:beforeAutospacing="1" w:after="100" w:afterAutospacing="1"/>
        <w:jc w:val="left"/>
        <w:rPr>
          <w:rFonts w:ascii="微软雅黑" w:eastAsia="微软雅黑" w:hAnsi="微软雅黑"/>
        </w:rPr>
      </w:pPr>
      <w:r>
        <w:rPr>
          <w:rFonts w:ascii="微软雅黑" w:eastAsia="微软雅黑" w:hAnsi="微软雅黑" w:hint="eastAsia"/>
        </w:rPr>
        <w:t>康师傅饮品、百事可乐、</w:t>
      </w:r>
      <w:proofErr w:type="gramStart"/>
      <w:r>
        <w:rPr>
          <w:rFonts w:ascii="微软雅黑" w:eastAsia="微软雅黑" w:hAnsi="微软雅黑" w:hint="eastAsia"/>
        </w:rPr>
        <w:t>奈雪的</w:t>
      </w:r>
      <w:proofErr w:type="gramEnd"/>
      <w:r>
        <w:rPr>
          <w:rFonts w:ascii="微软雅黑" w:eastAsia="微软雅黑" w:hAnsi="微软雅黑" w:hint="eastAsia"/>
        </w:rPr>
        <w:t>茶、健力宝、贝纳颂、奈瑞儿、京东。</w:t>
      </w:r>
    </w:p>
    <w:sectPr w:rsidR="001D6A22">
      <w:headerReference w:type="default" r:id="rId14"/>
      <w:footerReference w:type="even" r:id="rId15"/>
      <w:footerReference w:type="default" r:id="rId16"/>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4E192" w14:textId="77777777" w:rsidR="002154FA" w:rsidRDefault="002154FA">
      <w:r>
        <w:separator/>
      </w:r>
    </w:p>
  </w:endnote>
  <w:endnote w:type="continuationSeparator" w:id="0">
    <w:p w14:paraId="201C5DD1" w14:textId="77777777" w:rsidR="002154FA" w:rsidRDefault="00215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C261" w14:textId="77777777" w:rsidR="001D6A22" w:rsidRDefault="00000000">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55D0C4A6" w14:textId="77777777" w:rsidR="001D6A22" w:rsidRDefault="001D6A22">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0D38" w14:textId="77777777" w:rsidR="001D6A22" w:rsidRDefault="001D6A22">
    <w:pPr>
      <w:pStyle w:val="a7"/>
      <w:framePr w:wrap="around" w:vAnchor="text" w:hAnchor="margin" w:xAlign="right" w:y="1"/>
      <w:rPr>
        <w:rStyle w:val="ad"/>
      </w:rPr>
    </w:pPr>
  </w:p>
  <w:p w14:paraId="24470AE4" w14:textId="77777777" w:rsidR="001D6A22" w:rsidRDefault="001D6A22">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B1239" w14:textId="77777777" w:rsidR="002154FA" w:rsidRDefault="002154FA">
      <w:r>
        <w:separator/>
      </w:r>
    </w:p>
  </w:footnote>
  <w:footnote w:type="continuationSeparator" w:id="0">
    <w:p w14:paraId="71220457" w14:textId="77777777" w:rsidR="002154FA" w:rsidRDefault="00215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7FF" w14:textId="77777777" w:rsidR="001D6A22" w:rsidRDefault="00000000">
    <w:pPr>
      <w:pStyle w:val="a8"/>
      <w:jc w:val="both"/>
      <w:rPr>
        <w:rFonts w:ascii="微软雅黑" w:eastAsia="微软雅黑" w:hAnsi="微软雅黑"/>
        <w:sz w:val="21"/>
      </w:rPr>
    </w:pPr>
    <w:r>
      <w:rPr>
        <w:b/>
        <w:noProof/>
        <w:color w:val="333333"/>
        <w:sz w:val="21"/>
      </w:rPr>
      <w:drawing>
        <wp:inline distT="0" distB="0" distL="0" distR="0" wp14:anchorId="4FD02CD8" wp14:editId="0055471E">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D7651"/>
    <w:multiLevelType w:val="singleLevel"/>
    <w:tmpl w:val="442D7651"/>
    <w:lvl w:ilvl="0">
      <w:start w:val="2"/>
      <w:numFmt w:val="chineseCounting"/>
      <w:suff w:val="nothing"/>
      <w:lvlText w:val="%1、"/>
      <w:lvlJc w:val="left"/>
      <w:rPr>
        <w:rFonts w:hint="eastAsia"/>
      </w:rPr>
    </w:lvl>
  </w:abstractNum>
  <w:num w:numId="1" w16cid:durableId="837158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2RlOTIxMDhkYmY3ZjZkZjgxYzU2YTY5ODZmMjZjYjYifQ=="/>
  </w:docVars>
  <w:rsids>
    <w:rsidRoot w:val="00172A27"/>
    <w:rsid w:val="0000069D"/>
    <w:rsid w:val="00004F1D"/>
    <w:rsid w:val="00044F04"/>
    <w:rsid w:val="000532E1"/>
    <w:rsid w:val="00056791"/>
    <w:rsid w:val="0006079A"/>
    <w:rsid w:val="000631F9"/>
    <w:rsid w:val="00064A6F"/>
    <w:rsid w:val="00071CE5"/>
    <w:rsid w:val="00077EC5"/>
    <w:rsid w:val="0008523E"/>
    <w:rsid w:val="000915E6"/>
    <w:rsid w:val="000962FD"/>
    <w:rsid w:val="00097129"/>
    <w:rsid w:val="000979A5"/>
    <w:rsid w:val="000A5090"/>
    <w:rsid w:val="000B0AC3"/>
    <w:rsid w:val="000D05FE"/>
    <w:rsid w:val="000E18A5"/>
    <w:rsid w:val="000E2A45"/>
    <w:rsid w:val="000F5168"/>
    <w:rsid w:val="000F63B2"/>
    <w:rsid w:val="00105103"/>
    <w:rsid w:val="00112736"/>
    <w:rsid w:val="00112AAF"/>
    <w:rsid w:val="00114B55"/>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D6A22"/>
    <w:rsid w:val="001E38F1"/>
    <w:rsid w:val="001E6133"/>
    <w:rsid w:val="001F17F1"/>
    <w:rsid w:val="001F36FC"/>
    <w:rsid w:val="001F4270"/>
    <w:rsid w:val="0020719F"/>
    <w:rsid w:val="00212E4B"/>
    <w:rsid w:val="00214649"/>
    <w:rsid w:val="002154FA"/>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E1D93"/>
    <w:rsid w:val="003E2159"/>
    <w:rsid w:val="003E2E89"/>
    <w:rsid w:val="003E42EA"/>
    <w:rsid w:val="003F1D64"/>
    <w:rsid w:val="003F3BB6"/>
    <w:rsid w:val="003F3F93"/>
    <w:rsid w:val="003F410F"/>
    <w:rsid w:val="003F4BD3"/>
    <w:rsid w:val="003F7DAE"/>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3DA5"/>
    <w:rsid w:val="005D5D19"/>
    <w:rsid w:val="005D614B"/>
    <w:rsid w:val="005D77D7"/>
    <w:rsid w:val="005E4E84"/>
    <w:rsid w:val="006126FE"/>
    <w:rsid w:val="00613CE9"/>
    <w:rsid w:val="0062719D"/>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0DB8"/>
    <w:rsid w:val="00783763"/>
    <w:rsid w:val="007847FC"/>
    <w:rsid w:val="00787A78"/>
    <w:rsid w:val="00795109"/>
    <w:rsid w:val="007A0451"/>
    <w:rsid w:val="007B2D27"/>
    <w:rsid w:val="007C0828"/>
    <w:rsid w:val="007C3F70"/>
    <w:rsid w:val="007C4C7A"/>
    <w:rsid w:val="007D5451"/>
    <w:rsid w:val="007D76B6"/>
    <w:rsid w:val="007F6422"/>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D7A98"/>
    <w:rsid w:val="008E29E6"/>
    <w:rsid w:val="008E508C"/>
    <w:rsid w:val="008F2922"/>
    <w:rsid w:val="008F2CAF"/>
    <w:rsid w:val="00902EA3"/>
    <w:rsid w:val="0090431A"/>
    <w:rsid w:val="009076EA"/>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8E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E7F81"/>
    <w:rsid w:val="00B05B17"/>
    <w:rsid w:val="00B06504"/>
    <w:rsid w:val="00B31A03"/>
    <w:rsid w:val="00B35B50"/>
    <w:rsid w:val="00B36BD0"/>
    <w:rsid w:val="00B413D5"/>
    <w:rsid w:val="00B46839"/>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81403"/>
    <w:rsid w:val="00C93159"/>
    <w:rsid w:val="00C9457C"/>
    <w:rsid w:val="00CA426C"/>
    <w:rsid w:val="00CA7DE6"/>
    <w:rsid w:val="00CB2251"/>
    <w:rsid w:val="00CB2938"/>
    <w:rsid w:val="00CB462E"/>
    <w:rsid w:val="00CB4A74"/>
    <w:rsid w:val="00CC70FB"/>
    <w:rsid w:val="00CE174D"/>
    <w:rsid w:val="00CE4ADE"/>
    <w:rsid w:val="00CE55AC"/>
    <w:rsid w:val="00D13BC3"/>
    <w:rsid w:val="00D14F03"/>
    <w:rsid w:val="00D20932"/>
    <w:rsid w:val="00D409BB"/>
    <w:rsid w:val="00D438D7"/>
    <w:rsid w:val="00D5007A"/>
    <w:rsid w:val="00D5598B"/>
    <w:rsid w:val="00D56BD0"/>
    <w:rsid w:val="00D63679"/>
    <w:rsid w:val="00D6725D"/>
    <w:rsid w:val="00D71A2E"/>
    <w:rsid w:val="00D731FC"/>
    <w:rsid w:val="00D80973"/>
    <w:rsid w:val="00DB3708"/>
    <w:rsid w:val="00DB60D1"/>
    <w:rsid w:val="00DC397E"/>
    <w:rsid w:val="00DC3EBF"/>
    <w:rsid w:val="00DC3FCF"/>
    <w:rsid w:val="00E004F9"/>
    <w:rsid w:val="00E05F13"/>
    <w:rsid w:val="00E10DBE"/>
    <w:rsid w:val="00E14A7D"/>
    <w:rsid w:val="00E23547"/>
    <w:rsid w:val="00E336C0"/>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A5F73"/>
    <w:rsid w:val="00EB404E"/>
    <w:rsid w:val="00EC14B1"/>
    <w:rsid w:val="00EC6379"/>
    <w:rsid w:val="00ED507C"/>
    <w:rsid w:val="00EE38CD"/>
    <w:rsid w:val="00EE6D2C"/>
    <w:rsid w:val="00EF7326"/>
    <w:rsid w:val="00F02271"/>
    <w:rsid w:val="00F22C99"/>
    <w:rsid w:val="00F334A7"/>
    <w:rsid w:val="00F35569"/>
    <w:rsid w:val="00F3618F"/>
    <w:rsid w:val="00F503C8"/>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70B2"/>
    <w:rsid w:val="019750AE"/>
    <w:rsid w:val="0F917E25"/>
    <w:rsid w:val="197D79F5"/>
    <w:rsid w:val="1C04095C"/>
    <w:rsid w:val="22025377"/>
    <w:rsid w:val="22806203"/>
    <w:rsid w:val="30CA6F34"/>
    <w:rsid w:val="323E76CC"/>
    <w:rsid w:val="32896CDA"/>
    <w:rsid w:val="357F1C4B"/>
    <w:rsid w:val="36A9016B"/>
    <w:rsid w:val="3A350073"/>
    <w:rsid w:val="3BBA23D3"/>
    <w:rsid w:val="435E1315"/>
    <w:rsid w:val="48E66F9D"/>
    <w:rsid w:val="5CC63245"/>
    <w:rsid w:val="6A7A32FF"/>
    <w:rsid w:val="6C3306D2"/>
    <w:rsid w:val="6FA34A20"/>
    <w:rsid w:val="6FBF4FC4"/>
    <w:rsid w:val="7E7675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3C476"/>
  <w15:docId w15:val="{7003C94C-7D3D-426A-894D-DCDA9C5BB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qFormat/>
    <w:pPr>
      <w:widowControl/>
      <w:jc w:val="left"/>
    </w:pPr>
    <w:rPr>
      <w:rFonts w:ascii="Arial" w:hAnsi="Arial"/>
      <w:kern w:val="0"/>
      <w:sz w:val="18"/>
    </w:rPr>
  </w:style>
  <w:style w:type="paragraph" w:styleId="a5">
    <w:name w:val="Balloon Text"/>
    <w:basedOn w:val="a"/>
    <w:link w:val="a6"/>
    <w:uiPriority w:val="99"/>
    <w:semiHidden/>
    <w:unhideWhenUsed/>
    <w:qFormat/>
    <w:rPr>
      <w:sz w:val="18"/>
      <w:szCs w:val="18"/>
    </w:rPr>
  </w:style>
  <w:style w:type="paragraph" w:styleId="a7">
    <w:name w:val="footer"/>
    <w:basedOn w:val="a"/>
    <w:pPr>
      <w:tabs>
        <w:tab w:val="center" w:pos="4153"/>
        <w:tab w:val="right" w:pos="8306"/>
      </w:tabs>
      <w:snapToGrid w:val="0"/>
      <w:jc w:val="left"/>
    </w:pPr>
    <w:rPr>
      <w:sz w:val="18"/>
    </w:rPr>
  </w:style>
  <w:style w:type="paragraph" w:styleId="a8">
    <w:name w:val="header"/>
    <w:basedOn w:val="a"/>
    <w:pPr>
      <w:pBdr>
        <w:bottom w:val="single" w:sz="6" w:space="1" w:color="auto"/>
      </w:pBdr>
      <w:tabs>
        <w:tab w:val="center" w:pos="4153"/>
        <w:tab w:val="right" w:pos="8306"/>
      </w:tabs>
      <w:snapToGrid w:val="0"/>
      <w:jc w:val="center"/>
    </w:pPr>
    <w:rPr>
      <w:sz w:val="18"/>
    </w:rPr>
  </w:style>
  <w:style w:type="paragraph" w:styleId="a9">
    <w:name w:val="Normal (Web)"/>
    <w:basedOn w:val="a"/>
    <w:uiPriority w:val="99"/>
    <w:pPr>
      <w:widowControl/>
      <w:spacing w:before="100" w:beforeAutospacing="1" w:after="100" w:afterAutospacing="1"/>
      <w:jc w:val="left"/>
    </w:pPr>
    <w:rPr>
      <w:rFonts w:ascii="宋体" w:hAnsi="宋体"/>
      <w:kern w:val="0"/>
      <w:sz w:val="24"/>
    </w:rPr>
  </w:style>
  <w:style w:type="paragraph" w:styleId="aa">
    <w:name w:val="Title"/>
    <w:basedOn w:val="a"/>
    <w:link w:val="ab"/>
    <w:qFormat/>
    <w:pPr>
      <w:widowControl/>
      <w:jc w:val="center"/>
    </w:pPr>
    <w:rPr>
      <w:b/>
      <w:sz w:val="28"/>
      <w:lang w:eastAsia="en-US"/>
    </w:rPr>
  </w:style>
  <w:style w:type="character" w:styleId="ac">
    <w:name w:val="Strong"/>
    <w:basedOn w:val="a0"/>
    <w:qFormat/>
    <w:rPr>
      <w:b/>
    </w:rPr>
  </w:style>
  <w:style w:type="character" w:styleId="ad">
    <w:name w:val="page number"/>
    <w:basedOn w:val="a0"/>
  </w:style>
  <w:style w:type="character" w:styleId="ae">
    <w:name w:val="Emphasis"/>
    <w:basedOn w:val="a0"/>
    <w:qFormat/>
    <w:rPr>
      <w:i/>
    </w:rPr>
  </w:style>
  <w:style w:type="character" w:styleId="af">
    <w:name w:val="Hyperlink"/>
    <w:basedOn w:val="a0"/>
    <w:qFormat/>
    <w:rPr>
      <w:color w:val="0000FF"/>
      <w:u w:val="single"/>
    </w:rPr>
  </w:style>
  <w:style w:type="character" w:customStyle="1" w:styleId="ab">
    <w:name w:val="标题 字符"/>
    <w:basedOn w:val="a0"/>
    <w:link w:val="aa"/>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qFormat/>
  </w:style>
  <w:style w:type="paragraph" w:styleId="af0">
    <w:name w:val="List Paragraph"/>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1">
    <w:name w:val="清單段落"/>
    <w:basedOn w:val="a"/>
    <w:qFormat/>
    <w:pPr>
      <w:ind w:left="720"/>
    </w:pPr>
  </w:style>
  <w:style w:type="character" w:customStyle="1" w:styleId="a6">
    <w:name w:val="批注框文本 字符"/>
    <w:basedOn w:val="a0"/>
    <w:link w:val="a5"/>
    <w:uiPriority w:val="99"/>
    <w:semiHidden/>
    <w:qFormat/>
    <w:rPr>
      <w:kern w:val="2"/>
      <w:sz w:val="18"/>
      <w:szCs w:val="18"/>
    </w:rPr>
  </w:style>
  <w:style w:type="character" w:styleId="af2">
    <w:name w:val="Unresolved Mention"/>
    <w:basedOn w:val="a0"/>
    <w:uiPriority w:val="99"/>
    <w:semiHidden/>
    <w:unhideWhenUsed/>
    <w:rsid w:val="00B46839"/>
    <w:rPr>
      <w:color w:val="605E5C"/>
      <w:shd w:val="clear" w:color="auto" w:fill="E1DFDD"/>
    </w:rPr>
  </w:style>
  <w:style w:type="character" w:styleId="af3">
    <w:name w:val="FollowedHyperlink"/>
    <w:basedOn w:val="a0"/>
    <w:uiPriority w:val="99"/>
    <w:semiHidden/>
    <w:unhideWhenUsed/>
    <w:rsid w:val="00B468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gdshcm.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FC57CCB-9734-3848-A947-AA9D3486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375</Words>
  <Characters>2143</Characters>
  <Application>Microsoft Office Word</Application>
  <DocSecurity>0</DocSecurity>
  <Lines>17</Lines>
  <Paragraphs>5</Paragraphs>
  <ScaleCrop>false</ScaleCrop>
  <Company>WWW.YlmF.CoM</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A61533</cp:lastModifiedBy>
  <cp:revision>2</cp:revision>
  <cp:lastPrinted>2013-11-12T01:54:00Z</cp:lastPrinted>
  <dcterms:created xsi:type="dcterms:W3CDTF">2023-02-14T10:17:00Z</dcterms:created>
  <dcterms:modified xsi:type="dcterms:W3CDTF">2023-02-14T10:17:00Z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627924987C2B413993A3450BA661C206</vt:lpwstr>
  </property>
</Properties>
</file>