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F37B15" w14:textId="7B60B935" w:rsidR="00DE3A15" w:rsidRDefault="00000000" w:rsidP="0009117E">
      <w:pPr>
        <w:jc w:val="center"/>
        <w:textAlignment w:val="baseline"/>
        <w:rPr>
          <w:rFonts w:ascii="微软雅黑" w:eastAsia="微软雅黑" w:hAnsi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优酷内生定投</w:t>
      </w:r>
    </w:p>
    <w:p w14:paraId="3FC59F7C" w14:textId="77777777" w:rsidR="00DE3A15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报送公司：</w:t>
      </w:r>
      <w:r w:rsidRPr="0009117E">
        <w:rPr>
          <w:rFonts w:ascii="微软雅黑" w:eastAsia="微软雅黑" w:hAnsi="微软雅黑" w:hint="eastAsia"/>
          <w:bCs/>
        </w:rPr>
        <w:t>优酷</w:t>
      </w:r>
    </w:p>
    <w:p w14:paraId="7DA5883E" w14:textId="77777777" w:rsidR="0009117E" w:rsidRPr="0009117E" w:rsidRDefault="00000000" w:rsidP="0009117E">
      <w:pPr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09117E" w:rsidRPr="0009117E">
        <w:rPr>
          <w:rFonts w:ascii="微软雅黑" w:eastAsia="微软雅黑" w:hAnsi="微软雅黑" w:hint="eastAsia"/>
          <w:color w:val="000000" w:themeColor="text1"/>
        </w:rPr>
        <w:t>年度最佳数字营销工具</w:t>
      </w:r>
    </w:p>
    <w:p w14:paraId="112A54D0" w14:textId="030BFAEA" w:rsidR="00DE3A15" w:rsidRDefault="00000000" w:rsidP="0009117E">
      <w:pPr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20047313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优酷内生广告覆盖会员且能融合内容与广告，是长视频最优质的变现载体，但传统大剧按“集”售卖模式，无法满足市场日益迫切的“精细化运营”营销需求。因此优酷全面升级投放技术领先行首次推出「内生定投」剧场系列产品，实现内生广告规模化投放。</w:t>
      </w:r>
    </w:p>
    <w:p w14:paraId="65BF6CA0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「内生定投」是优酷2021年全网独家推出的以内生广告为载体的创新营销产品。优酷「内生定投」包含全明星、超新星、智多星、智多星Pro四大产品，开放品牌头条、前情提要/前情播报、品牌标版四大广告资源，依托技术和数据能力实现广告定向投放，帮助品牌精准触达核心消费人群并激活高价值目标消费者，进一步提升营销效率。</w:t>
      </w:r>
    </w:p>
    <w:p w14:paraId="7BB73653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noProof/>
          <w:color w:val="333333"/>
          <w:szCs w:val="21"/>
          <w:shd w:val="clear" w:color="auto" w:fill="FFFFFF"/>
        </w:rPr>
        <w:drawing>
          <wp:inline distT="0" distB="0" distL="114300" distR="114300" wp14:anchorId="76DC8277" wp14:editId="0485FBBB">
            <wp:extent cx="5761355" cy="324040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2022年，优酷「内生定投」还完成全新升级，将以更丰富、灵活的投放形式为品牌营销持续提效。此次升级也标志着优酷进一步升维内生广告的商业化空间，品牌广告展现形式和投放能力全面提升，营销效率领先行业。</w:t>
      </w:r>
    </w:p>
    <w:p w14:paraId="3EAC0630" w14:textId="77777777" w:rsidR="00DE3A15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687638FA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以内生广告为载体是优酷「内生定投」与传统广告形式的最大区别，这是一种介于贴片模式和植入模式的中间态产品，它打破了封闭式广告屏障，让品牌信息成为内容的一部分，让用户在收看内容的过程中自然记住品牌并对品牌产生好感。基于内生广告这样的优质载体，优酷 「内生定投」还依托技术手段开发出以下三大能力：</w:t>
      </w:r>
    </w:p>
    <w:p w14:paraId="1A74AAFC" w14:textId="77777777" w:rsidR="00DE3A15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规模化定向投放，激活高价值目标人群</w:t>
      </w:r>
    </w:p>
    <w:p w14:paraId="08D04910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优酷基于不同人群的内容偏好，沉淀了“年轻女性”“Z世代”“三高”（高知、高职、高消费）三类核心营销人群，规模化定向投放是结合品牌的营销诉求圈选兴趣人群，让品牌主更快找到目标用户并撬动消费意愿更强的高价值消费人群，达成更高ROI。</w:t>
      </w:r>
    </w:p>
    <w:p w14:paraId="398F912D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noProof/>
          <w:color w:val="333333"/>
          <w:szCs w:val="21"/>
          <w:shd w:val="clear" w:color="auto" w:fill="FFFFFF"/>
        </w:rPr>
        <w:drawing>
          <wp:inline distT="0" distB="0" distL="114300" distR="114300" wp14:anchorId="2316E903" wp14:editId="40F5D4C8">
            <wp:extent cx="5261610" cy="29591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4530" w14:textId="77777777" w:rsidR="00DE3A15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前后链路贯通，提升品效势能</w:t>
      </w:r>
    </w:p>
    <w:p w14:paraId="3888141C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众所周知，优酷背靠阿里生态，优酷「内生定投」将内容场与电商场结合，营销投放前后链路实现贯通，用户点击可一键跳转至品牌旗舰店，这种降低行动成本的方式不仅能提升用户体验，还可以促进公域用户转化为品牌私域资产。</w:t>
      </w:r>
    </w:p>
    <w:p w14:paraId="57784F8F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333333"/>
          <w:szCs w:val="21"/>
          <w:shd w:val="clear" w:color="auto" w:fill="FFFFFF"/>
        </w:rPr>
        <w:drawing>
          <wp:inline distT="0" distB="0" distL="114300" distR="114300" wp14:anchorId="31F0DB71" wp14:editId="001F4F47">
            <wp:extent cx="5761355" cy="324040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158A" w14:textId="77777777" w:rsidR="00DE3A15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szCs w:val="21"/>
          <w:shd w:val="clear" w:color="auto" w:fill="FFFFFF"/>
        </w:rPr>
        <w:lastRenderedPageBreak/>
        <w:t>数据可监测可追踪，沉淀品牌资产</w:t>
      </w:r>
    </w:p>
    <w:p w14:paraId="01F41AE4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数据可追踪可沉淀指的是优酷「内生定投」支持第三方数据监测，营销投放数据回流品牌数据银行，沉淀为品牌资产，指导后续营销投放，进一步提高营销效率。</w:t>
      </w:r>
    </w:p>
    <w:p w14:paraId="0CB84272" w14:textId="77777777" w:rsidR="00DE3A15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13D9C9F0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「内生定投」系列产品，旨在以内生广告为载体，依托技术升级和阿里大数据，向市场提供更有效的消费者沟通形式、更高效的人群触达方式、以及长期数据资产积累。帮助广告主精准触达品牌核心消费人群，并让品牌内容与用户实现深度沟通，激活视频平台用户购买力成为品牌营销的新阵地。</w:t>
      </w:r>
    </w:p>
    <w:p w14:paraId="2524C157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333333"/>
          <w:szCs w:val="21"/>
          <w:shd w:val="clear" w:color="auto" w:fill="FFFFFF"/>
        </w:rPr>
        <w:t>全新升级的优酷「内生定投」将品牌头条、前情提要/前情播报、品牌标版四大广告资源进行系统化升级，为品牌带来大曝光、强吸引、深交互的多元营销价值，让营销投放更具效率。</w:t>
      </w:r>
    </w:p>
    <w:p w14:paraId="0E19E3F0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升级后品牌头条和品牌标版均拥有3D破屏的展示效果，让品牌广告一秒抢占用户注意力，震感+摇一摇功能极大调动用户主动了解品牌的积极性，并将用户引导至品牌官方旗舰店、激活转化。</w:t>
      </w:r>
    </w:p>
    <w:p w14:paraId="124A284C" w14:textId="77777777" w:rsidR="00DE3A15" w:rsidRDefault="00000000">
      <w:pPr>
        <w:spacing w:before="100" w:beforeAutospacing="1" w:after="100" w:afterAutospacing="1"/>
        <w:textAlignment w:val="baseline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 wp14:anchorId="4C31065F" wp14:editId="0FCE5178">
            <wp:extent cx="5481955" cy="3082290"/>
            <wp:effectExtent l="0" t="0" r="4445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F8ACFC" w14:textId="77777777" w:rsidR="00DE3A15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图/品牌头条升级后3D破屏展示效果</w:t>
      </w:r>
    </w:p>
    <w:p w14:paraId="7C1118AC" w14:textId="77777777" w:rsidR="00DE3A15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333333"/>
          <w:szCs w:val="21"/>
          <w:shd w:val="clear" w:color="auto" w:fill="FFFFFF"/>
        </w:rPr>
        <w:lastRenderedPageBreak/>
        <w:drawing>
          <wp:inline distT="0" distB="0" distL="114300" distR="114300" wp14:anchorId="79181A1E" wp14:editId="2CAEF393">
            <wp:extent cx="5724525" cy="3219450"/>
            <wp:effectExtent l="0" t="0" r="3175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EC6DD4" w14:textId="77777777" w:rsidR="00DE3A15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图/品牌头条升级后震感+摇一摇展示效果</w:t>
      </w:r>
    </w:p>
    <w:p w14:paraId="273E34DC" w14:textId="77777777" w:rsidR="00DE3A15" w:rsidRDefault="00000000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升级后的前情提要/前情播报的广告素材展现面积更大，产品信息展示位置也由右下角平移到中间的位置，让品牌信息合理抢戏。</w:t>
      </w:r>
    </w:p>
    <w:p w14:paraId="187EA368" w14:textId="77777777" w:rsidR="00DE3A15" w:rsidRDefault="00000000">
      <w:pPr>
        <w:spacing w:before="100" w:beforeAutospacing="1" w:after="100" w:afterAutospacing="1"/>
        <w:jc w:val="left"/>
        <w:textAlignment w:val="baseline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 wp14:anchorId="4EC31FD9" wp14:editId="2EA9B2AE">
            <wp:extent cx="6104255" cy="1701165"/>
            <wp:effectExtent l="0" t="0" r="4445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4F8B32" w14:textId="77777777" w:rsidR="00DE3A15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图/前情提要/前情播报升级前后对比图</w:t>
      </w:r>
    </w:p>
    <w:p w14:paraId="7F9BE2C3" w14:textId="77777777" w:rsidR="00DE3A15" w:rsidRDefault="00000000">
      <w:pPr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  <w:t>总的来说，全新升级的优酷「内生定投」让内生广告的商业价值得到更大释放，品牌投放效果也显著提升。</w:t>
      </w:r>
    </w:p>
    <w:p w14:paraId="1A575EBC" w14:textId="77777777" w:rsidR="00DE3A15" w:rsidRDefault="00000000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24DA0A92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数据显示，优酷「内生定投」自上线后获得广告主一致好评，品牌复购率超过50%。</w:t>
      </w:r>
    </w:p>
    <w:p w14:paraId="5BD44653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比如OPPO Reno8系列在新机发布时，通过合作智多星Pro定向圈选品牌核心目标用户，以破屏5s标版极致展现新机细节和质感，实现了核心人群的突破性推荐和“种草”，并引流至品牌官方旗舰店参与互动。</w:t>
      </w:r>
    </w:p>
    <w:p w14:paraId="799ABC56" w14:textId="77777777" w:rsidR="00DE3A15" w:rsidRDefault="00000000">
      <w:pPr>
        <w:spacing w:before="100" w:beforeAutospacing="1" w:after="100" w:afterAutospacing="1"/>
        <w:textAlignment w:val="baseline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F3897CD" wp14:editId="79245E19">
            <wp:extent cx="5525135" cy="3007995"/>
            <wp:effectExtent l="0" t="0" r="12065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381572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乐事的暑期档营销依托优酷「内生定投」打透“看剧享乐事”的品牌心智，在此基础上整合搜索场、观影场、购买场三大场域，构建了一条从场景“种草”到品牌“拔草”再到进店“加粉”的最短链路，既引爆新品声量与销量，又沉淀了品牌资产。</w:t>
      </w:r>
    </w:p>
    <w:p w14:paraId="429B86F6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033AE1FE" wp14:editId="04FC78F6">
            <wp:extent cx="5770880" cy="3238500"/>
            <wp:effectExtent l="0" t="0" r="762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956F52" w14:textId="77777777" w:rsidR="00DE3A1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评价：在用户注意力极度分散的存量时代，品牌营销迫切需要从传统的粗放模式转向人群、流量的精细化运营模式，秉持这样的初心，优酷「内生定投」一直跟随品牌的需求变化进行升级，其创新升级的资源形式和强大的投放能力，也代表着行业的全新进化方向：用更创新、更灵活的创新营销产品，将平台海量优质内容带来的流量最大限度转化为品牌的营销势能，收获新品效。而在创新这一点上，优酷持续抢先领跑。</w:t>
      </w:r>
    </w:p>
    <w:sectPr w:rsidR="00DE3A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5ED6B" w14:textId="77777777" w:rsidR="00077CB7" w:rsidRDefault="00077CB7">
      <w:r>
        <w:separator/>
      </w:r>
    </w:p>
  </w:endnote>
  <w:endnote w:type="continuationSeparator" w:id="0">
    <w:p w14:paraId="7FEFD8E4" w14:textId="77777777" w:rsidR="00077CB7" w:rsidRDefault="0007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B51D" w14:textId="77777777" w:rsidR="00DE3A15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3E37DC12" w14:textId="77777777" w:rsidR="00DE3A15" w:rsidRDefault="00DE3A1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DF40" w14:textId="77777777" w:rsidR="00DE3A15" w:rsidRDefault="00DE3A15">
    <w:pPr>
      <w:pStyle w:val="a7"/>
      <w:framePr w:wrap="around" w:vAnchor="text" w:hAnchor="margin" w:xAlign="right" w:y="1"/>
      <w:rPr>
        <w:rStyle w:val="ad"/>
      </w:rPr>
    </w:pPr>
  </w:p>
  <w:p w14:paraId="59D28D6A" w14:textId="77777777" w:rsidR="00DE3A15" w:rsidRDefault="00DE3A1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A6B4" w14:textId="77777777" w:rsidR="0009117E" w:rsidRDefault="000911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663DB" w14:textId="77777777" w:rsidR="00077CB7" w:rsidRDefault="00077CB7">
      <w:r>
        <w:separator/>
      </w:r>
    </w:p>
  </w:footnote>
  <w:footnote w:type="continuationSeparator" w:id="0">
    <w:p w14:paraId="2BFA0FA1" w14:textId="77777777" w:rsidR="00077CB7" w:rsidRDefault="0007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47170" w14:textId="77777777" w:rsidR="00DE3A15" w:rsidRDefault="00DE3A1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0CC9" w14:textId="77777777" w:rsidR="00DE3A15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2AE0579" wp14:editId="0914BC9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450D" w14:textId="77777777" w:rsidR="00DE3A15" w:rsidRDefault="00DE3A1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5A1A4E"/>
    <w:multiLevelType w:val="singleLevel"/>
    <w:tmpl w:val="845A1A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32952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CB7"/>
    <w:rsid w:val="00077EC5"/>
    <w:rsid w:val="0008523E"/>
    <w:rsid w:val="0009117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9C2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0053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DE3A15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807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6F716"/>
  <w15:docId w15:val="{C0C2753B-47CB-4451-A554-80E33ED95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1541</Characters>
  <Application>Microsoft Office Word</Application>
  <DocSecurity>0</DocSecurity>
  <Lines>12</Lines>
  <Paragraphs>3</Paragraphs>
  <ScaleCrop>false</ScaleCrop>
  <Company>WWW.YlmF.CoM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2013-11-12T01:54:00Z</cp:lastPrinted>
  <dcterms:created xsi:type="dcterms:W3CDTF">2023-02-17T02:01:00Z</dcterms:created>
  <dcterms:modified xsi:type="dcterms:W3CDTF">2023-02-17T02:01:00Z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2C8C2D8581074B2A9E9BF1AC083B269D</vt:lpwstr>
  </property>
</Properties>
</file>