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5D8D8B" w14:textId="77777777" w:rsidR="008D0059" w:rsidRDefault="00000000">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bCs/>
          <w:sz w:val="32"/>
          <w:szCs w:val="32"/>
        </w:rPr>
        <w:t>优酷OTT投屏互动广告</w:t>
      </w:r>
    </w:p>
    <w:p w14:paraId="540BF113" w14:textId="77777777" w:rsidR="008D0059" w:rsidRDefault="00000000">
      <w:pPr>
        <w:textAlignment w:val="baseline"/>
        <w:rPr>
          <w:rFonts w:ascii="微软雅黑" w:eastAsia="微软雅黑" w:hAnsi="微软雅黑"/>
          <w:b/>
        </w:rPr>
      </w:pPr>
      <w:r>
        <w:rPr>
          <w:rFonts w:ascii="微软雅黑" w:eastAsia="微软雅黑" w:hAnsi="微软雅黑" w:hint="eastAsia"/>
          <w:b/>
        </w:rPr>
        <w:t>报送公司：</w:t>
      </w:r>
      <w:r w:rsidRPr="00761705">
        <w:rPr>
          <w:rFonts w:ascii="微软雅黑" w:eastAsia="微软雅黑" w:hAnsi="微软雅黑" w:hint="eastAsia"/>
          <w:bCs/>
        </w:rPr>
        <w:t>优酷</w:t>
      </w:r>
    </w:p>
    <w:p w14:paraId="310A09E1" w14:textId="77777777" w:rsidR="00761705" w:rsidRDefault="00000000" w:rsidP="00761705">
      <w:pPr>
        <w:textAlignment w:val="baseline"/>
        <w:rPr>
          <w:rFonts w:ascii="微软雅黑" w:eastAsia="微软雅黑" w:hAnsi="微软雅黑"/>
          <w:color w:val="FF0000"/>
        </w:rPr>
      </w:pPr>
      <w:r>
        <w:rPr>
          <w:rFonts w:ascii="微软雅黑" w:eastAsia="微软雅黑" w:hAnsi="微软雅黑" w:hint="eastAsia"/>
          <w:b/>
        </w:rPr>
        <w:t>参选类别：</w:t>
      </w:r>
      <w:r w:rsidR="00761705" w:rsidRPr="00761705">
        <w:rPr>
          <w:rFonts w:ascii="微软雅黑" w:eastAsia="微软雅黑" w:hAnsi="微软雅黑" w:hint="eastAsia"/>
          <w:color w:val="000000" w:themeColor="text1"/>
        </w:rPr>
        <w:t>年度最佳数字营销工具</w:t>
      </w:r>
    </w:p>
    <w:p w14:paraId="40A64176" w14:textId="00C56D98" w:rsidR="008D0059" w:rsidRDefault="00000000" w:rsidP="00761705">
      <w:pPr>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简介</w:t>
      </w:r>
    </w:p>
    <w:p w14:paraId="452A13B9"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开发背景</w:t>
      </w:r>
      <w:r>
        <w:rPr>
          <w:rFonts w:ascii="微软雅黑" w:eastAsia="微软雅黑" w:hAnsi="微软雅黑" w:hint="eastAsia"/>
        </w:rPr>
        <w:t>：新场景。2020年，投屏看逐渐普及，流量爆炸性增长70%，同时作为一个高粘度高频次使用场景，受到越来越多用户的喜爱。成为大屏三大入口之一。</w:t>
      </w:r>
    </w:p>
    <w:p w14:paraId="7A438176"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开发时间：</w:t>
      </w:r>
      <w:r>
        <w:rPr>
          <w:rFonts w:ascii="微软雅黑" w:eastAsia="微软雅黑" w:hAnsi="微软雅黑" w:hint="eastAsia"/>
        </w:rPr>
        <w:t>2021年。</w:t>
      </w:r>
    </w:p>
    <w:p w14:paraId="0ACA833B"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核心目标：</w:t>
      </w:r>
      <w:r>
        <w:rPr>
          <w:rFonts w:ascii="微软雅黑" w:eastAsia="微软雅黑" w:hAnsi="微软雅黑" w:hint="eastAsia"/>
        </w:rPr>
        <w:t>新视觉。双屏曝光，大屏15秒全屏视频，小屏常驻banner可跳转，广告到达率高。双屏联动，强效击穿用户心智；新品销。小屏端支持阿里独有的一键跳转天猫店功能，缩短品效转化路线，一键跳转促进购买。</w:t>
      </w:r>
    </w:p>
    <w:p w14:paraId="16192F8D"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使用人群</w:t>
      </w:r>
      <w:r>
        <w:rPr>
          <w:rFonts w:ascii="微软雅黑" w:eastAsia="微软雅黑" w:hAnsi="微软雅黑" w:hint="eastAsia"/>
        </w:rPr>
        <w:t>：新人群。本广告形式移动端会员可见，使用投屏用户会员占比达到90%。25~39岁用户占到85%，有效与年轻化与高价值人群深度互动。</w:t>
      </w:r>
    </w:p>
    <w:p w14:paraId="5F41E1C7"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产品介绍：</w:t>
      </w:r>
      <w:r>
        <w:rPr>
          <w:rFonts w:ascii="微软雅黑" w:eastAsia="微软雅黑" w:hAnsi="微软雅黑" w:hint="eastAsia"/>
        </w:rPr>
        <w:t>优酷OTT「投屏互动广告」是指用户在使用投屏功能向大屏投放内容观看时触发的广告展示。包括了从优酷手机端app和外部app投屏到优酷OTT平台的多种投屏形式的广告展示覆盖。大屏播放品牌广告，小屏引导发券或购买。</w:t>
      </w:r>
    </w:p>
    <w:p w14:paraId="7D7F79EA" w14:textId="77777777" w:rsidR="008D0059" w:rsidRDefault="00000000">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使用说明</w:t>
      </w:r>
    </w:p>
    <w:p w14:paraId="1E74F20F" w14:textId="77777777" w:rsidR="008D0059" w:rsidRDefault="00000000">
      <w:pPr>
        <w:spacing w:before="100" w:beforeAutospacing="1" w:after="100" w:afterAutospacing="1"/>
        <w:textAlignment w:val="baseline"/>
        <w:rPr>
          <w:rFonts w:ascii="微软雅黑" w:eastAsia="微软雅黑" w:hAnsi="微软雅黑"/>
          <w:b/>
          <w:bCs/>
        </w:rPr>
      </w:pPr>
      <w:r>
        <w:rPr>
          <w:rFonts w:ascii="微软雅黑" w:eastAsia="微软雅黑" w:hAnsi="微软雅黑" w:hint="eastAsia"/>
          <w:b/>
          <w:bCs/>
        </w:rPr>
        <w:t>Step1：双屏大曝光，定向重点城市，聚焦目标潮人，更高投放可见性</w:t>
      </w:r>
    </w:p>
    <w:p w14:paraId="0776DA3B" w14:textId="77777777" w:rsidR="008D0059" w:rsidRDefault="00000000">
      <w:pPr>
        <w:spacing w:before="100" w:beforeAutospacing="1" w:after="100" w:afterAutospacing="1"/>
        <w:textAlignment w:val="baseline"/>
      </w:pPr>
      <w:r>
        <w:rPr>
          <w:noProof/>
        </w:rPr>
        <w:drawing>
          <wp:inline distT="0" distB="0" distL="114300" distR="114300" wp14:anchorId="5774A43F" wp14:editId="30CDF967">
            <wp:extent cx="3513455" cy="1664335"/>
            <wp:effectExtent l="0" t="0" r="4445" b="12065"/>
            <wp:docPr id="8" name="图片 8" descr="2021优酷OTT投屏广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优酷OTT投屏广告3"/>
                    <pic:cNvPicPr>
                      <a:picLocks noChangeAspect="1"/>
                    </pic:cNvPicPr>
                  </pic:nvPicPr>
                  <pic:blipFill>
                    <a:blip r:embed="rId7"/>
                    <a:stretch>
                      <a:fillRect/>
                    </a:stretch>
                  </pic:blipFill>
                  <pic:spPr>
                    <a:xfrm>
                      <a:off x="0" y="0"/>
                      <a:ext cx="3513455" cy="1664335"/>
                    </a:xfrm>
                    <a:prstGeom prst="rect">
                      <a:avLst/>
                    </a:prstGeom>
                    <a:noFill/>
                    <a:ln w="9525">
                      <a:noFill/>
                    </a:ln>
                  </pic:spPr>
                </pic:pic>
              </a:graphicData>
            </a:graphic>
          </wp:inline>
        </w:drawing>
      </w:r>
    </w:p>
    <w:p w14:paraId="759EC66C" w14:textId="77777777" w:rsidR="008D0059" w:rsidRDefault="00000000">
      <w:pPr>
        <w:spacing w:before="100" w:beforeAutospacing="1" w:after="100" w:afterAutospacing="1"/>
        <w:textAlignment w:val="baseline"/>
      </w:pPr>
      <w:r>
        <w:rPr>
          <w:noProof/>
        </w:rPr>
        <w:lastRenderedPageBreak/>
        <w:drawing>
          <wp:inline distT="0" distB="0" distL="114300" distR="114300" wp14:anchorId="68E5A933" wp14:editId="4D98FFFD">
            <wp:extent cx="3399790" cy="1664970"/>
            <wp:effectExtent l="0" t="0" r="3810" b="11430"/>
            <wp:docPr id="10" name="图片 -2147482619" descr="2021优酷OTT投屏广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47482619" descr="2021优酷OTT投屏广告1"/>
                    <pic:cNvPicPr>
                      <a:picLocks noChangeAspect="1"/>
                    </pic:cNvPicPr>
                  </pic:nvPicPr>
                  <pic:blipFill>
                    <a:blip r:embed="rId8"/>
                    <a:stretch>
                      <a:fillRect/>
                    </a:stretch>
                  </pic:blipFill>
                  <pic:spPr>
                    <a:xfrm>
                      <a:off x="0" y="0"/>
                      <a:ext cx="3399790" cy="1664970"/>
                    </a:xfrm>
                    <a:prstGeom prst="rect">
                      <a:avLst/>
                    </a:prstGeom>
                    <a:noFill/>
                    <a:ln w="9525">
                      <a:noFill/>
                    </a:ln>
                  </pic:spPr>
                </pic:pic>
              </a:graphicData>
            </a:graphic>
          </wp:inline>
        </w:drawing>
      </w:r>
    </w:p>
    <w:p w14:paraId="672F17E4" w14:textId="77777777" w:rsidR="008D0059" w:rsidRDefault="00000000">
      <w:pPr>
        <w:spacing w:before="100" w:beforeAutospacing="1" w:after="100" w:afterAutospacing="1"/>
        <w:textAlignment w:val="baseline"/>
        <w:rPr>
          <w:rFonts w:ascii="微软雅黑" w:eastAsia="微软雅黑" w:hAnsi="微软雅黑"/>
          <w:b/>
          <w:bCs/>
        </w:rPr>
      </w:pPr>
      <w:r>
        <w:rPr>
          <w:rFonts w:ascii="微软雅黑" w:eastAsia="微软雅黑" w:hAnsi="微软雅黑" w:hint="eastAsia"/>
          <w:b/>
          <w:bCs/>
        </w:rPr>
        <w:t>Step2：小屏支持摇一摇跳转，加速决策过程，最短链路高效收割</w:t>
      </w:r>
    </w:p>
    <w:p w14:paraId="14B46D02" w14:textId="77777777" w:rsidR="008D0059" w:rsidRDefault="00000000">
      <w:pPr>
        <w:spacing w:before="100" w:beforeAutospacing="1" w:after="100" w:afterAutospacing="1"/>
        <w:textAlignment w:val="baseline"/>
        <w:rPr>
          <w:rFonts w:ascii="微软雅黑" w:eastAsia="微软雅黑" w:hAnsi="微软雅黑"/>
          <w:b/>
          <w:bCs/>
        </w:rPr>
      </w:pPr>
      <w:r>
        <w:rPr>
          <w:rFonts w:ascii="微软雅黑" w:eastAsia="微软雅黑" w:hAnsi="微软雅黑"/>
          <w:b/>
          <w:bCs/>
          <w:noProof/>
          <w:color w:val="000000" w:themeColor="text1"/>
          <w:szCs w:val="21"/>
        </w:rPr>
        <w:drawing>
          <wp:inline distT="0" distB="0" distL="0" distR="0" wp14:anchorId="01A16D6C" wp14:editId="28EF79EA">
            <wp:extent cx="3627120" cy="308610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6000" cy="3101713"/>
                    </a:xfrm>
                    <a:prstGeom prst="rect">
                      <a:avLst/>
                    </a:prstGeom>
                  </pic:spPr>
                </pic:pic>
              </a:graphicData>
            </a:graphic>
          </wp:inline>
        </w:drawing>
      </w:r>
    </w:p>
    <w:p w14:paraId="68C69DC5" w14:textId="77777777" w:rsidR="008D0059" w:rsidRDefault="00000000">
      <w:pPr>
        <w:spacing w:before="100" w:beforeAutospacing="1" w:after="100" w:afterAutospacing="1"/>
        <w:textAlignment w:val="baseline"/>
        <w:rPr>
          <w:rFonts w:ascii="微软雅黑" w:eastAsia="微软雅黑" w:hAnsi="微软雅黑"/>
          <w:b/>
          <w:bCs/>
        </w:rPr>
      </w:pPr>
      <w:r>
        <w:rPr>
          <w:rFonts w:ascii="微软雅黑" w:eastAsia="微软雅黑" w:hAnsi="微软雅黑" w:hint="eastAsia"/>
          <w:b/>
          <w:bCs/>
        </w:rPr>
        <w:t>Step3</w:t>
      </w:r>
      <w:r w:rsidR="00E727AE">
        <w:rPr>
          <w:rFonts w:ascii="微软雅黑" w:eastAsia="微软雅黑" w:hAnsi="微软雅黑" w:hint="eastAsia"/>
          <w:b/>
          <w:bCs/>
        </w:rPr>
        <w:t>：</w:t>
      </w:r>
      <w:r>
        <w:rPr>
          <w:rFonts w:ascii="微软雅黑" w:eastAsia="微软雅黑" w:hAnsi="微软雅黑" w:hint="eastAsia"/>
          <w:b/>
          <w:bCs/>
        </w:rPr>
        <w:t>独家数据沉淀，实现“洞察-投放-评估”的全链路营销体系</w:t>
      </w:r>
    </w:p>
    <w:p w14:paraId="269F89AD"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品牌主会获得包含曝光、点击、加购、成交等数据，并用于二次运营投放，相当于进入了品牌的私域。</w:t>
      </w:r>
    </w:p>
    <w:p w14:paraId="51717608" w14:textId="77777777" w:rsidR="008D0059" w:rsidRDefault="00000000">
      <w:pPr>
        <w:widowControl/>
        <w:spacing w:before="100" w:beforeAutospacing="1" w:after="100" w:afterAutospacing="1"/>
        <w:jc w:val="left"/>
        <w:textAlignment w:val="baseline"/>
        <w:rPr>
          <w:rFonts w:ascii="微软雅黑" w:eastAsia="微软雅黑" w:hAnsi="微软雅黑"/>
        </w:rPr>
      </w:pPr>
      <w:r>
        <w:rPr>
          <w:rFonts w:ascii="微软雅黑" w:eastAsia="微软雅黑" w:hAnsi="微软雅黑" w:cs="宋体" w:hint="eastAsia"/>
          <w:b/>
          <w:color w:val="C79E5B"/>
          <w:kern w:val="0"/>
          <w:sz w:val="28"/>
          <w:szCs w:val="24"/>
        </w:rPr>
        <w:t>应用范围</w:t>
      </w:r>
    </w:p>
    <w:p w14:paraId="08C9F5FD"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投屏作为一种连接大小屏的有效方式，聚集着越来越多的用户。秒针系统联合优酷发布《投屏互动广告营销价值研究报告》显示，当前投屏用户规模增长到亿级。在移动互联网增速放缓的当下，投屏的巨大流量吸引行业的众多玩家，以优酷OTT为代表的媒体平台一马当先，行业首创优酷OTT「投屏互动广告」，成功登上品效新高地C位。在投屏互动广告的营销浪潮中，优酷OTT「投屏互动广告」位居行业领先地位，主要得益于以下两大原因</w:t>
      </w:r>
      <w:r w:rsidR="00E727AE">
        <w:rPr>
          <w:rFonts w:ascii="微软雅黑" w:eastAsia="微软雅黑" w:hAnsi="微软雅黑" w:hint="eastAsia"/>
        </w:rPr>
        <w:t>：</w:t>
      </w:r>
    </w:p>
    <w:p w14:paraId="46EE9FA9"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首先，优酷投屏用户以高价值家庭人群为主，对投屏互动广告接受度高，具备强大的购买力。</w:t>
      </w:r>
      <w:r>
        <w:rPr>
          <w:rFonts w:ascii="微软雅黑" w:eastAsia="微软雅黑" w:hAnsi="微软雅黑" w:hint="eastAsia"/>
        </w:rPr>
        <w:t>《投屏互动广告营销价值研究报告》显示，优酷OTT投屏用户男女比例较均衡，分别为46%及54%；且高学历人群比重高，本科及以上学历占比超六成，研究生及以上用户比例为4.9%，大幅高于智</w:t>
      </w:r>
      <w:r>
        <w:rPr>
          <w:rFonts w:ascii="微软雅黑" w:eastAsia="微软雅黑" w:hAnsi="微软雅黑" w:hint="eastAsia"/>
        </w:rPr>
        <w:lastRenderedPageBreak/>
        <w:t>能家庭大屏用户平均水平1.7%。</w:t>
      </w:r>
    </w:p>
    <w:p w14:paraId="4B6FEB70"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noProof/>
        </w:rPr>
        <w:drawing>
          <wp:inline distT="0" distB="0" distL="114300" distR="114300" wp14:anchorId="0624C9E6" wp14:editId="4C622AE6">
            <wp:extent cx="5866130" cy="3182620"/>
            <wp:effectExtent l="0" t="0" r="127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866130" cy="3182620"/>
                    </a:xfrm>
                    <a:prstGeom prst="rect">
                      <a:avLst/>
                    </a:prstGeom>
                    <a:noFill/>
                    <a:ln w="9525">
                      <a:noFill/>
                    </a:ln>
                  </pic:spPr>
                </pic:pic>
              </a:graphicData>
            </a:graphic>
          </wp:inline>
        </w:drawing>
      </w:r>
    </w:p>
    <w:p w14:paraId="1FA807BF"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从投放效果上看，优酷投屏用户不仅覆盖会员与非会员用户、触达率高，用户对投屏互动广告接受度高、消费意愿也更强。优酷OTT「投屏互动广告」的大屏端和小屏端的触达能力均高于智能家庭大屏广告的平均水平；与此同时优酷投屏有效覆盖各级城市，一线、新一线、二线等上线城市的优酷用户投屏使用率较高，周使用率均达到55%以上；优酷投屏41.9%的用户近半年内被投屏互动广告种草；过半表示被种草后或在3天内购入商品。</w:t>
      </w:r>
    </w:p>
    <w:p w14:paraId="0C3DFEFC" w14:textId="77777777" w:rsidR="008D0059" w:rsidRDefault="00000000">
      <w:pPr>
        <w:spacing w:before="100" w:beforeAutospacing="1" w:after="100" w:afterAutospacing="1"/>
        <w:textAlignment w:val="baseline"/>
        <w:rPr>
          <w:rFonts w:ascii="微软雅黑" w:eastAsia="微软雅黑" w:hAnsi="微软雅黑"/>
        </w:rPr>
      </w:pPr>
      <w:r>
        <w:rPr>
          <w:rFonts w:ascii="宋体" w:hAnsi="宋体" w:cs="宋体"/>
          <w:noProof/>
          <w:sz w:val="24"/>
          <w:szCs w:val="24"/>
        </w:rPr>
        <w:drawing>
          <wp:inline distT="0" distB="0" distL="114300" distR="114300" wp14:anchorId="6D148D6F" wp14:editId="4882D59B">
            <wp:extent cx="6218555" cy="3368675"/>
            <wp:effectExtent l="0" t="0" r="444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6218555" cy="3368675"/>
                    </a:xfrm>
                    <a:prstGeom prst="rect">
                      <a:avLst/>
                    </a:prstGeom>
                    <a:noFill/>
                    <a:ln w="9525">
                      <a:noFill/>
                    </a:ln>
                  </pic:spPr>
                </pic:pic>
              </a:graphicData>
            </a:graphic>
          </wp:inline>
        </w:drawing>
      </w:r>
    </w:p>
    <w:p w14:paraId="416BBFCC"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此外，“全家一起看”是投屏的一个重要场景，优酷投屏的屏前家庭关系稳定，两代人“小家庭”比例过半，“二人世界”占比大幅高于智能家庭大屏整体水平。优酷OTT拥有庞大的高价值家庭</w:t>
      </w:r>
      <w:r>
        <w:rPr>
          <w:rFonts w:ascii="微软雅黑" w:eastAsia="微软雅黑" w:hAnsi="微软雅黑" w:hint="eastAsia"/>
        </w:rPr>
        <w:lastRenderedPageBreak/>
        <w:t>用户，奥维云网数据显示，CIBN酷喵影视（优酷TV版）在2022年Q1期间日活终端数最高直逼4000万台，这意味着优酷OTT「投屏互动广告」可以面向更广阔的家庭人群。</w:t>
      </w:r>
    </w:p>
    <w:p w14:paraId="5DA9BC11" w14:textId="77777777" w:rsidR="008D0059" w:rsidRDefault="00000000">
      <w:pPr>
        <w:widowControl/>
        <w:spacing w:before="100" w:beforeAutospacing="1" w:after="100" w:afterAutospacing="1"/>
        <w:jc w:val="left"/>
        <w:textAlignment w:val="baseline"/>
        <w:rPr>
          <w:rFonts w:ascii="宋体" w:hAnsi="宋体" w:cs="宋体"/>
          <w:sz w:val="24"/>
          <w:szCs w:val="24"/>
        </w:rPr>
      </w:pPr>
      <w:r>
        <w:rPr>
          <w:rFonts w:ascii="宋体" w:hAnsi="宋体" w:cs="宋体"/>
          <w:noProof/>
          <w:sz w:val="24"/>
          <w:szCs w:val="24"/>
        </w:rPr>
        <w:drawing>
          <wp:inline distT="0" distB="0" distL="114300" distR="114300" wp14:anchorId="5E4985EE" wp14:editId="45A3E782">
            <wp:extent cx="5921375" cy="3223895"/>
            <wp:effectExtent l="0" t="0" r="9525"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5921375" cy="3223895"/>
                    </a:xfrm>
                    <a:prstGeom prst="rect">
                      <a:avLst/>
                    </a:prstGeom>
                    <a:noFill/>
                    <a:ln w="9525">
                      <a:noFill/>
                    </a:ln>
                  </pic:spPr>
                </pic:pic>
              </a:graphicData>
            </a:graphic>
          </wp:inline>
        </w:drawing>
      </w:r>
    </w:p>
    <w:p w14:paraId="53A0B28A"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其次，优酷OTT「投屏互动广告」类型丰富并具备强大的数智化能力。</w:t>
      </w:r>
      <w:r>
        <w:rPr>
          <w:rFonts w:ascii="微软雅黑" w:eastAsia="微软雅黑" w:hAnsi="微软雅黑" w:hint="eastAsia"/>
        </w:rPr>
        <w:t>优酷OTT一方面依托技术和创新能力，推出「投屏互动广告」、「投屏摇一摇」等创新产品，将大屏的高曝光和小屏的强互动进行深度结合；另一方面基于数智化能力为品牌精准锁定投屏用户背后的高价值家庭人群，打通后链路，为品牌带来</w:t>
      </w:r>
      <w:r>
        <w:rPr>
          <w:rFonts w:ascii="微软雅黑" w:eastAsia="微软雅黑" w:hAnsi="微软雅黑" w:hint="eastAsia"/>
          <w:b/>
          <w:bCs/>
        </w:rPr>
        <w:t>高认知、深种草、高转化</w:t>
      </w:r>
      <w:r>
        <w:rPr>
          <w:rFonts w:ascii="微软雅黑" w:eastAsia="微软雅黑" w:hAnsi="微软雅黑" w:hint="eastAsia"/>
        </w:rPr>
        <w:t>的营销投放效果。</w:t>
      </w:r>
    </w:p>
    <w:p w14:paraId="56EE3438"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值得关注的是，优酷OTT「投屏互动广告」支持第三方数据监测，且用户消费行为可回流品牌数据银行，在整个投放过程中，品牌主会获得曝光、点击、加购、成交等数据，指导后续运营投放，收获长期复利。</w:t>
      </w:r>
    </w:p>
    <w:p w14:paraId="0B562B41" w14:textId="77777777" w:rsidR="008D0059" w:rsidRDefault="00000000">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应用实例</w:t>
      </w:r>
    </w:p>
    <w:p w14:paraId="03C6071A" w14:textId="77777777" w:rsidR="008D0059" w:rsidRDefault="00000000">
      <w:pPr>
        <w:spacing w:before="100" w:beforeAutospacing="1" w:after="100" w:afterAutospacing="1"/>
        <w:textAlignment w:val="baseline"/>
        <w:rPr>
          <w:rFonts w:ascii="微软雅黑" w:eastAsia="微软雅黑" w:hAnsi="微软雅黑"/>
          <w:b/>
          <w:bCs/>
        </w:rPr>
      </w:pPr>
      <w:r>
        <w:rPr>
          <w:rFonts w:ascii="微软雅黑" w:eastAsia="微软雅黑" w:hAnsi="微软雅黑" w:hint="eastAsia"/>
          <w:b/>
          <w:bCs/>
        </w:rPr>
        <w:t>据统计，优酷OTT合作品牌数增长400%，「投屏互动广告」2022年累计服务超50家品牌。</w:t>
      </w:r>
      <w:r>
        <w:rPr>
          <w:rFonts w:ascii="微软雅黑" w:eastAsia="微软雅黑" w:hAnsi="微软雅黑" w:hint="eastAsia"/>
        </w:rPr>
        <w:t>仅2022年优酷OTT「投屏互动广告」就累计服务超50家品牌，携手品牌主共创的优秀案例也先后斩获第22届IAI传鉴国际广告奖、2022金瞳奖、2022灵眸奖在内的</w:t>
      </w:r>
      <w:r>
        <w:rPr>
          <w:rFonts w:ascii="微软雅黑" w:eastAsia="微软雅黑" w:hAnsi="微软雅黑" w:hint="eastAsia"/>
          <w:b/>
          <w:bCs/>
        </w:rPr>
        <w:t>20多个行业大奖。</w:t>
      </w:r>
    </w:p>
    <w:p w14:paraId="5F0B238B"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以戴森为例，品牌多次合作优酷OTT「投屏互动广告」，成功掐尖高价值家庭用户。当消费者在家使用投屏功能时，在投屏之后、播放之前双屏会同时展示投放品牌的广告素材，大小屏联动曝光让品牌强势收割用户注意力。广告播放结束后，手机上还会以banner形式对产品信息进行呈现，点击banner就会进入品牌旗舰店，供消费者浏览商品详情乃至购买。数据显示，第二次投放中，戴森FC取得了ROI＞10的惊人回报；而在第三次投放中，戴森选择优酷OTT新推出的「投屏摇一摇」产品，借助大小屏联动以及手机“摇一摇”跳转至品牌电商店铺的互动功能，斩获投放ROI＞5，其中“摇一摇”互动率超过10%，新客占比＞99%。</w:t>
      </w:r>
    </w:p>
    <w:p w14:paraId="495F870D" w14:textId="77777777" w:rsidR="008D0059" w:rsidRDefault="00000000">
      <w:pPr>
        <w:spacing w:before="100" w:beforeAutospacing="1" w:after="100" w:afterAutospacing="1"/>
        <w:textAlignment w:val="baseline"/>
        <w:rPr>
          <w:rFonts w:ascii="宋体" w:hAnsi="宋体" w:cs="宋体"/>
          <w:sz w:val="24"/>
          <w:szCs w:val="24"/>
        </w:rPr>
      </w:pPr>
      <w:r>
        <w:rPr>
          <w:rFonts w:ascii="宋体" w:hAnsi="宋体" w:cs="宋体"/>
          <w:noProof/>
          <w:sz w:val="24"/>
          <w:szCs w:val="24"/>
        </w:rPr>
        <w:lastRenderedPageBreak/>
        <w:drawing>
          <wp:inline distT="0" distB="0" distL="114300" distR="114300" wp14:anchorId="3BF53D38" wp14:editId="4A3A62C3">
            <wp:extent cx="6192520" cy="3142615"/>
            <wp:effectExtent l="0" t="0" r="5080" b="698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6192520" cy="3142615"/>
                    </a:xfrm>
                    <a:prstGeom prst="rect">
                      <a:avLst/>
                    </a:prstGeom>
                    <a:noFill/>
                    <a:ln w="9525">
                      <a:noFill/>
                    </a:ln>
                  </pic:spPr>
                </pic:pic>
              </a:graphicData>
            </a:graphic>
          </wp:inline>
        </w:drawing>
      </w:r>
    </w:p>
    <w:p w14:paraId="70CCEBB7"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乐事新品——麻酱铜锅涮肉味薯片通过优酷OTT「投屏互动广告」的双屏曝光，完成目标用户对品牌认知度、喜爱度、购买意愿及推荐意愿上的有效提升，其中认知度提升率达109%。</w:t>
      </w:r>
    </w:p>
    <w:p w14:paraId="007BBE33" w14:textId="77777777" w:rsidR="008D0059" w:rsidRDefault="00000000">
      <w:pPr>
        <w:spacing w:before="100" w:beforeAutospacing="1" w:after="100" w:afterAutospacing="1"/>
        <w:textAlignment w:val="baseline"/>
        <w:rPr>
          <w:rFonts w:ascii="宋体" w:hAnsi="宋体" w:cs="宋体"/>
          <w:sz w:val="24"/>
          <w:szCs w:val="24"/>
        </w:rPr>
      </w:pPr>
      <w:r>
        <w:rPr>
          <w:rFonts w:ascii="宋体" w:hAnsi="宋体" w:cs="宋体"/>
          <w:noProof/>
          <w:sz w:val="24"/>
          <w:szCs w:val="24"/>
        </w:rPr>
        <w:drawing>
          <wp:inline distT="0" distB="0" distL="114300" distR="114300" wp14:anchorId="3CEBAF60" wp14:editId="38B3DC3A">
            <wp:extent cx="5627370" cy="3027045"/>
            <wp:effectExtent l="0" t="0" r="11430" b="825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4"/>
                    <a:stretch>
                      <a:fillRect/>
                    </a:stretch>
                  </pic:blipFill>
                  <pic:spPr>
                    <a:xfrm>
                      <a:off x="0" y="0"/>
                      <a:ext cx="5627370" cy="3027045"/>
                    </a:xfrm>
                    <a:prstGeom prst="rect">
                      <a:avLst/>
                    </a:prstGeom>
                    <a:noFill/>
                    <a:ln w="9525">
                      <a:noFill/>
                    </a:ln>
                  </pic:spPr>
                </pic:pic>
              </a:graphicData>
            </a:graphic>
          </wp:inline>
        </w:drawing>
      </w:r>
    </w:p>
    <w:p w14:paraId="263C619A"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Clarks携手优酷OTT「投屏互动广告」精准触达高消费白领人群，高效完成“双11”人群蓄水。数据显示，此次投放ROI＞3；25-39岁人群占比高达76%；电商互动新客达99%。</w:t>
      </w:r>
    </w:p>
    <w:p w14:paraId="757917D3" w14:textId="77777777" w:rsidR="008D0059"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视频：</w:t>
      </w:r>
      <w:hyperlink r:id="rId15" w:history="1">
        <w:r>
          <w:rPr>
            <w:rStyle w:val="af"/>
            <w:rFonts w:ascii="微软雅黑" w:eastAsia="微软雅黑" w:hAnsi="微软雅黑" w:hint="eastAsia"/>
          </w:rPr>
          <w:t>https://v.youku.com/v_show/id_XNTkzNDU2NzE4MA==.html</w:t>
        </w:r>
      </w:hyperlink>
    </w:p>
    <w:p w14:paraId="4193FEEA" w14:textId="77777777" w:rsidR="008D0059" w:rsidRDefault="00000000">
      <w:pPr>
        <w:spacing w:before="100" w:beforeAutospacing="1" w:after="100" w:afterAutospacing="1"/>
        <w:textAlignment w:val="baseline"/>
        <w:rPr>
          <w:rFonts w:ascii="微软雅黑" w:eastAsia="微软雅黑" w:hAnsi="微软雅黑"/>
        </w:rPr>
      </w:pPr>
      <w:hyperlink r:id="rId16" w:history="1">
        <w:r>
          <w:rPr>
            <w:rStyle w:val="af"/>
            <w:rFonts w:ascii="微软雅黑" w:eastAsia="微软雅黑" w:hAnsi="微软雅黑" w:hint="eastAsia"/>
          </w:rPr>
          <w:t>https://v.youku.com/v_show/id_XNTkzNjMwNjQyMA==.html</w:t>
        </w:r>
      </w:hyperlink>
    </w:p>
    <w:p w14:paraId="65A71F9D" w14:textId="77777777" w:rsidR="008D0059" w:rsidRDefault="00000000">
      <w:pPr>
        <w:spacing w:before="100" w:beforeAutospacing="1" w:after="100" w:afterAutospacing="1"/>
        <w:textAlignment w:val="baseline"/>
        <w:rPr>
          <w:rFonts w:ascii="微软雅黑" w:eastAsia="微软雅黑" w:hAnsi="微软雅黑"/>
        </w:rPr>
      </w:pPr>
      <w:r>
        <w:rPr>
          <w:rFonts w:ascii="宋体" w:hAnsi="宋体" w:cs="宋体"/>
          <w:noProof/>
          <w:sz w:val="24"/>
          <w:szCs w:val="24"/>
        </w:rPr>
        <w:lastRenderedPageBreak/>
        <w:drawing>
          <wp:inline distT="0" distB="0" distL="114300" distR="114300" wp14:anchorId="67147B8E" wp14:editId="17D4D24D">
            <wp:extent cx="5666740" cy="3200400"/>
            <wp:effectExtent l="0" t="0" r="1016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7"/>
                    <a:stretch>
                      <a:fillRect/>
                    </a:stretch>
                  </pic:blipFill>
                  <pic:spPr>
                    <a:xfrm>
                      <a:off x="0" y="0"/>
                      <a:ext cx="5666740" cy="3200400"/>
                    </a:xfrm>
                    <a:prstGeom prst="rect">
                      <a:avLst/>
                    </a:prstGeom>
                    <a:noFill/>
                    <a:ln w="9525">
                      <a:noFill/>
                    </a:ln>
                  </pic:spPr>
                </pic:pic>
              </a:graphicData>
            </a:graphic>
          </wp:inline>
        </w:drawing>
      </w:r>
    </w:p>
    <w:sectPr w:rsidR="008D0059">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8678F" w14:textId="77777777" w:rsidR="006318A2" w:rsidRDefault="006318A2">
      <w:r>
        <w:separator/>
      </w:r>
    </w:p>
  </w:endnote>
  <w:endnote w:type="continuationSeparator" w:id="0">
    <w:p w14:paraId="5C756B11" w14:textId="77777777" w:rsidR="006318A2" w:rsidRDefault="0063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DA93" w14:textId="77777777" w:rsidR="008D0059"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50B71291" w14:textId="77777777" w:rsidR="008D0059" w:rsidRDefault="008D0059">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B58A" w14:textId="77777777" w:rsidR="008D0059" w:rsidRDefault="008D0059">
    <w:pPr>
      <w:pStyle w:val="a7"/>
      <w:framePr w:wrap="around" w:vAnchor="text" w:hAnchor="margin" w:xAlign="right" w:y="1"/>
      <w:rPr>
        <w:rStyle w:val="ad"/>
      </w:rPr>
    </w:pPr>
  </w:p>
  <w:p w14:paraId="173439FD" w14:textId="77777777" w:rsidR="008D0059" w:rsidRDefault="008D0059">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CF2F" w14:textId="77777777" w:rsidR="00761705" w:rsidRDefault="0076170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DA93F" w14:textId="77777777" w:rsidR="006318A2" w:rsidRDefault="006318A2">
      <w:r>
        <w:separator/>
      </w:r>
    </w:p>
  </w:footnote>
  <w:footnote w:type="continuationSeparator" w:id="0">
    <w:p w14:paraId="2AA0BA5C" w14:textId="77777777" w:rsidR="006318A2" w:rsidRDefault="00631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9C9" w14:textId="77777777" w:rsidR="008D0059" w:rsidRDefault="008D005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6B09" w14:textId="77777777" w:rsidR="008D0059" w:rsidRDefault="00000000">
    <w:pPr>
      <w:pStyle w:val="a8"/>
      <w:jc w:val="both"/>
      <w:rPr>
        <w:rFonts w:ascii="微软雅黑" w:eastAsia="微软雅黑" w:hAnsi="微软雅黑"/>
        <w:sz w:val="21"/>
      </w:rPr>
    </w:pPr>
    <w:r>
      <w:rPr>
        <w:b/>
        <w:noProof/>
        <w:color w:val="333333"/>
        <w:sz w:val="21"/>
      </w:rPr>
      <w:drawing>
        <wp:inline distT="0" distB="0" distL="0" distR="0" wp14:anchorId="5A6E4B53" wp14:editId="544C88F4">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F33F" w14:textId="77777777" w:rsidR="008D0059" w:rsidRDefault="008D0059">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GYwYTMzMDE4ZTU4MTM4MjE3NTNhZjEwYTk5N2YzOWYifQ=="/>
  </w:docVars>
  <w:rsids>
    <w:rsidRoot w:val="00172A27"/>
    <w:rsid w:val="0000069D"/>
    <w:rsid w:val="0002409C"/>
    <w:rsid w:val="00043C0C"/>
    <w:rsid w:val="00044F04"/>
    <w:rsid w:val="000532E1"/>
    <w:rsid w:val="00056791"/>
    <w:rsid w:val="0006079A"/>
    <w:rsid w:val="000631F9"/>
    <w:rsid w:val="00071CE5"/>
    <w:rsid w:val="00077EC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6785"/>
    <w:rsid w:val="001A500D"/>
    <w:rsid w:val="001C4334"/>
    <w:rsid w:val="001D11F3"/>
    <w:rsid w:val="001D2E2D"/>
    <w:rsid w:val="001E38F1"/>
    <w:rsid w:val="001E6133"/>
    <w:rsid w:val="001F17F1"/>
    <w:rsid w:val="001F36FC"/>
    <w:rsid w:val="001F4270"/>
    <w:rsid w:val="0020719F"/>
    <w:rsid w:val="002144FA"/>
    <w:rsid w:val="00215F48"/>
    <w:rsid w:val="00220884"/>
    <w:rsid w:val="0022117C"/>
    <w:rsid w:val="00223EDE"/>
    <w:rsid w:val="00232662"/>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D1C76"/>
    <w:rsid w:val="002E436F"/>
    <w:rsid w:val="002E5914"/>
    <w:rsid w:val="002F2AF3"/>
    <w:rsid w:val="002F7E7A"/>
    <w:rsid w:val="003056B8"/>
    <w:rsid w:val="00311DCD"/>
    <w:rsid w:val="00317BD4"/>
    <w:rsid w:val="00320B24"/>
    <w:rsid w:val="00334623"/>
    <w:rsid w:val="00346C2B"/>
    <w:rsid w:val="00361FEC"/>
    <w:rsid w:val="00362043"/>
    <w:rsid w:val="00371D9E"/>
    <w:rsid w:val="00371F8B"/>
    <w:rsid w:val="00386E93"/>
    <w:rsid w:val="003A2FD7"/>
    <w:rsid w:val="003A3097"/>
    <w:rsid w:val="003A3802"/>
    <w:rsid w:val="003C413A"/>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36A2"/>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318A2"/>
    <w:rsid w:val="00644994"/>
    <w:rsid w:val="00650F34"/>
    <w:rsid w:val="0065606B"/>
    <w:rsid w:val="0065759C"/>
    <w:rsid w:val="00661A8D"/>
    <w:rsid w:val="00664649"/>
    <w:rsid w:val="00664D44"/>
    <w:rsid w:val="0066595A"/>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61705"/>
    <w:rsid w:val="00787A78"/>
    <w:rsid w:val="00795109"/>
    <w:rsid w:val="007A0451"/>
    <w:rsid w:val="007B2D27"/>
    <w:rsid w:val="007C0828"/>
    <w:rsid w:val="007C3F70"/>
    <w:rsid w:val="007C4C7A"/>
    <w:rsid w:val="007D5451"/>
    <w:rsid w:val="007D76B6"/>
    <w:rsid w:val="007E0284"/>
    <w:rsid w:val="007F6422"/>
    <w:rsid w:val="00813515"/>
    <w:rsid w:val="008159A4"/>
    <w:rsid w:val="00820C09"/>
    <w:rsid w:val="00822325"/>
    <w:rsid w:val="00825032"/>
    <w:rsid w:val="0085738D"/>
    <w:rsid w:val="008612D4"/>
    <w:rsid w:val="008674D7"/>
    <w:rsid w:val="00880022"/>
    <w:rsid w:val="00881A94"/>
    <w:rsid w:val="00886A9A"/>
    <w:rsid w:val="00891CAC"/>
    <w:rsid w:val="008A1E2D"/>
    <w:rsid w:val="008C2693"/>
    <w:rsid w:val="008D0059"/>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93068"/>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067"/>
    <w:rsid w:val="00A849B8"/>
    <w:rsid w:val="00A86FCA"/>
    <w:rsid w:val="00AB5A65"/>
    <w:rsid w:val="00AC6E5A"/>
    <w:rsid w:val="00AD1AA5"/>
    <w:rsid w:val="00AD1E2C"/>
    <w:rsid w:val="00AE7F81"/>
    <w:rsid w:val="00B05B17"/>
    <w:rsid w:val="00B06504"/>
    <w:rsid w:val="00B0668E"/>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B0E07"/>
    <w:rsid w:val="00BB1A99"/>
    <w:rsid w:val="00BC1804"/>
    <w:rsid w:val="00BD741B"/>
    <w:rsid w:val="00BD7FD3"/>
    <w:rsid w:val="00BF13CA"/>
    <w:rsid w:val="00BF6726"/>
    <w:rsid w:val="00C00168"/>
    <w:rsid w:val="00C04E7B"/>
    <w:rsid w:val="00C078EC"/>
    <w:rsid w:val="00C11650"/>
    <w:rsid w:val="00C171FB"/>
    <w:rsid w:val="00C209FE"/>
    <w:rsid w:val="00C27CF2"/>
    <w:rsid w:val="00C40E03"/>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C70FB"/>
    <w:rsid w:val="00CE55AC"/>
    <w:rsid w:val="00CF4CF0"/>
    <w:rsid w:val="00D102DD"/>
    <w:rsid w:val="00D13BC3"/>
    <w:rsid w:val="00D14F03"/>
    <w:rsid w:val="00D409BB"/>
    <w:rsid w:val="00D5007A"/>
    <w:rsid w:val="00D52DF6"/>
    <w:rsid w:val="00D5598B"/>
    <w:rsid w:val="00D56BD0"/>
    <w:rsid w:val="00D63679"/>
    <w:rsid w:val="00D6725D"/>
    <w:rsid w:val="00D71A2E"/>
    <w:rsid w:val="00D731FC"/>
    <w:rsid w:val="00D80973"/>
    <w:rsid w:val="00DA4C96"/>
    <w:rsid w:val="00DB3708"/>
    <w:rsid w:val="00DC397E"/>
    <w:rsid w:val="00DC3EBF"/>
    <w:rsid w:val="00DC3FCF"/>
    <w:rsid w:val="00E004F9"/>
    <w:rsid w:val="00E0213B"/>
    <w:rsid w:val="00E10DBE"/>
    <w:rsid w:val="00E14A7D"/>
    <w:rsid w:val="00E16890"/>
    <w:rsid w:val="00E23547"/>
    <w:rsid w:val="00E336C0"/>
    <w:rsid w:val="00E419C5"/>
    <w:rsid w:val="00E457D7"/>
    <w:rsid w:val="00E46527"/>
    <w:rsid w:val="00E478DB"/>
    <w:rsid w:val="00E52687"/>
    <w:rsid w:val="00E60CF7"/>
    <w:rsid w:val="00E60DF3"/>
    <w:rsid w:val="00E724E5"/>
    <w:rsid w:val="00E727AE"/>
    <w:rsid w:val="00E745ED"/>
    <w:rsid w:val="00E77E2B"/>
    <w:rsid w:val="00E8120B"/>
    <w:rsid w:val="00E846BA"/>
    <w:rsid w:val="00E84AE8"/>
    <w:rsid w:val="00E86C47"/>
    <w:rsid w:val="00E92CC7"/>
    <w:rsid w:val="00E93D45"/>
    <w:rsid w:val="00EB404E"/>
    <w:rsid w:val="00EC14B1"/>
    <w:rsid w:val="00EC6379"/>
    <w:rsid w:val="00ED507C"/>
    <w:rsid w:val="00ED72CC"/>
    <w:rsid w:val="00EE38CD"/>
    <w:rsid w:val="00EE6D2C"/>
    <w:rsid w:val="00F02271"/>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7838"/>
    <w:rsid w:val="00FE1360"/>
    <w:rsid w:val="00FE70B2"/>
    <w:rsid w:val="34404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C65E5B"/>
  <w15:docId w15:val="{F9277E27-480E-4C5D-8633-C107297C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pPr>
      <w:widowControl/>
      <w:jc w:val="left"/>
    </w:pPr>
    <w:rPr>
      <w:rFonts w:ascii="Arial" w:hAnsi="Arial"/>
      <w:kern w:val="0"/>
      <w:sz w:val="18"/>
    </w:rPr>
  </w:style>
  <w:style w:type="paragraph" w:styleId="a5">
    <w:name w:val="Balloon Text"/>
    <w:basedOn w:val="a"/>
    <w:link w:val="a6"/>
    <w:uiPriority w:val="99"/>
    <w:semiHidden/>
    <w:unhideWhenUsed/>
    <w:rPr>
      <w:sz w:val="18"/>
      <w:szCs w:val="18"/>
    </w:rPr>
  </w:style>
  <w:style w:type="paragraph" w:styleId="a7">
    <w:name w:val="footer"/>
    <w:basedOn w:val="a"/>
    <w:pPr>
      <w:tabs>
        <w:tab w:val="center" w:pos="4153"/>
        <w:tab w:val="right" w:pos="8306"/>
      </w:tabs>
      <w:snapToGrid w:val="0"/>
      <w:jc w:val="left"/>
    </w:pPr>
    <w:rPr>
      <w:sz w:val="18"/>
    </w:rPr>
  </w:style>
  <w:style w:type="paragraph" w:styleId="a8">
    <w:name w:val="header"/>
    <w:basedOn w:val="a"/>
    <w:pPr>
      <w:pBdr>
        <w:bottom w:val="single" w:sz="6" w:space="1" w:color="auto"/>
      </w:pBdr>
      <w:tabs>
        <w:tab w:val="center" w:pos="4153"/>
        <w:tab w:val="right" w:pos="8306"/>
      </w:tabs>
      <w:snapToGrid w:val="0"/>
      <w:jc w:val="center"/>
    </w:pPr>
    <w:rPr>
      <w:sz w:val="18"/>
    </w:rPr>
  </w:style>
  <w:style w:type="paragraph" w:styleId="a9">
    <w:name w:val="Normal (Web)"/>
    <w:basedOn w:val="a"/>
    <w:uiPriority w:val="99"/>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style>
  <w:style w:type="character" w:styleId="ae">
    <w:name w:val="Emphasis"/>
    <w:basedOn w:val="a0"/>
    <w:qFormat/>
    <w:rPr>
      <w:i/>
    </w:rPr>
  </w:style>
  <w:style w:type="character" w:styleId="af">
    <w:name w:val="Hyperlink"/>
    <w:basedOn w:val="a0"/>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pPr>
      <w:widowControl/>
    </w:pPr>
    <w:rPr>
      <w:kern w:val="0"/>
    </w:rPr>
  </w:style>
  <w:style w:type="paragraph" w:customStyle="1" w:styleId="css">
    <w:name w:val="css"/>
    <w:basedOn w:val="a"/>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pPr>
      <w:ind w:left="720"/>
    </w:pPr>
  </w:style>
  <w:style w:type="character" w:customStyle="1" w:styleId="a6">
    <w:name w:val="批注框文本 字符"/>
    <w:basedOn w:val="a0"/>
    <w:link w:val="a5"/>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youku.com/v_show/id_XNTkzNjMwNjQyMA==.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youku.com/v_show/id_XNTkzNDU2NzE4MA==.html"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D97C5DA-4B30-6843-93B7-7DF0BE0E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359</Words>
  <Characters>2048</Characters>
  <Application>Microsoft Office Word</Application>
  <DocSecurity>0</DocSecurity>
  <Lines>17</Lines>
  <Paragraphs>4</Paragraphs>
  <ScaleCrop>false</ScaleCrop>
  <Company>WWW.YlmF.CoM</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2013-11-12T01:54:00Z</cp:lastPrinted>
  <dcterms:created xsi:type="dcterms:W3CDTF">2023-02-17T02:05:00Z</dcterms:created>
  <dcterms:modified xsi:type="dcterms:W3CDTF">2023-02-17T02:05:00Z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C8F7B30B30C54EA7A0CDA4627EDF668A</vt:lpwstr>
  </property>
</Properties>
</file>