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5CBDF6" w14:textId="00AFF43D" w:rsidR="004721B7" w:rsidRPr="00481039" w:rsidRDefault="00000000" w:rsidP="00481039">
      <w:pPr>
        <w:spacing w:beforeLines="100" w:before="240" w:afterLines="100" w:after="240"/>
        <w:jc w:val="center"/>
        <w:textAlignment w:val="baseline"/>
        <w:rPr>
          <w:rFonts w:ascii="微软雅黑" w:eastAsia="微软雅黑" w:hAnsi="微软雅黑" w:cs="Times New Roman"/>
          <w:b/>
          <w:sz w:val="32"/>
          <w:szCs w:val="32"/>
        </w:rPr>
      </w:pPr>
      <w:r w:rsidRPr="00481039">
        <w:rPr>
          <w:rFonts w:ascii="微软雅黑" w:eastAsia="微软雅黑" w:hAnsi="微软雅黑" w:cs="Times New Roman" w:hint="eastAsia"/>
          <w:b/>
          <w:sz w:val="32"/>
          <w:szCs w:val="32"/>
        </w:rPr>
        <w:t>中信证券</w:t>
      </w:r>
      <w:r w:rsidR="00FF3079" w:rsidRPr="00FF3079">
        <w:rPr>
          <w:rFonts w:ascii="微软雅黑" w:eastAsia="微软雅黑" w:hAnsi="微软雅黑" w:cs="Times New Roman" w:hint="eastAsia"/>
          <w:b/>
          <w:sz w:val="32"/>
          <w:szCs w:val="32"/>
        </w:rPr>
        <w:t>×</w:t>
      </w:r>
      <w:r w:rsidRPr="00481039">
        <w:rPr>
          <w:rFonts w:ascii="微软雅黑" w:eastAsia="微软雅黑" w:hAnsi="微软雅黑" w:cs="Times New Roman" w:hint="eastAsia"/>
          <w:b/>
          <w:sz w:val="32"/>
          <w:szCs w:val="32"/>
        </w:rPr>
        <w:t>小米多资源构筑流量价值高地</w:t>
      </w:r>
    </w:p>
    <w:p w14:paraId="33F067DA" w14:textId="77777777" w:rsidR="004721B7" w:rsidRDefault="004721B7">
      <w:pPr>
        <w:jc w:val="center"/>
        <w:textAlignment w:val="baseline"/>
        <w:rPr>
          <w:rFonts w:ascii="微软雅黑" w:eastAsia="微软雅黑" w:hAnsi="微软雅黑"/>
          <w:sz w:val="21"/>
          <w:szCs w:val="21"/>
        </w:rPr>
      </w:pPr>
    </w:p>
    <w:p w14:paraId="28CCD5BC" w14:textId="77777777" w:rsidR="004721B7"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广 告 主</w:t>
      </w:r>
      <w:r>
        <w:rPr>
          <w:rFonts w:ascii="微软雅黑" w:eastAsia="微软雅黑" w:hAnsi="微软雅黑" w:hint="eastAsia"/>
          <w:sz w:val="21"/>
          <w:szCs w:val="21"/>
        </w:rPr>
        <w:t>：中信证券</w:t>
      </w:r>
    </w:p>
    <w:p w14:paraId="55306855" w14:textId="77777777" w:rsidR="004721B7"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所属行业</w:t>
      </w:r>
      <w:r>
        <w:rPr>
          <w:rFonts w:ascii="微软雅黑" w:eastAsia="微软雅黑" w:hAnsi="微软雅黑" w:hint="eastAsia"/>
          <w:sz w:val="21"/>
          <w:szCs w:val="21"/>
        </w:rPr>
        <w:t>：金融</w:t>
      </w:r>
    </w:p>
    <w:p w14:paraId="3D1F7951" w14:textId="77777777" w:rsidR="004721B7"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执行时间</w:t>
      </w:r>
      <w:r>
        <w:rPr>
          <w:rFonts w:ascii="微软雅黑" w:eastAsia="微软雅黑" w:hAnsi="微软雅黑" w:hint="eastAsia"/>
          <w:sz w:val="21"/>
          <w:szCs w:val="21"/>
        </w:rPr>
        <w:t>：20</w:t>
      </w:r>
      <w:r>
        <w:rPr>
          <w:rFonts w:ascii="微软雅黑" w:eastAsia="微软雅黑" w:hAnsi="微软雅黑"/>
          <w:sz w:val="21"/>
          <w:szCs w:val="21"/>
        </w:rPr>
        <w:t>22</w:t>
      </w:r>
      <w:r>
        <w:rPr>
          <w:rFonts w:ascii="微软雅黑" w:eastAsia="微软雅黑" w:hAnsi="微软雅黑" w:hint="eastAsia"/>
          <w:sz w:val="21"/>
          <w:szCs w:val="21"/>
        </w:rPr>
        <w:t>.0</w:t>
      </w:r>
      <w:r>
        <w:rPr>
          <w:rFonts w:ascii="微软雅黑" w:eastAsia="微软雅黑" w:hAnsi="微软雅黑"/>
          <w:sz w:val="21"/>
          <w:szCs w:val="21"/>
        </w:rPr>
        <w:t>9</w:t>
      </w:r>
      <w:r>
        <w:rPr>
          <w:rFonts w:ascii="微软雅黑" w:eastAsia="微软雅黑" w:hAnsi="微软雅黑" w:hint="eastAsia"/>
          <w:sz w:val="21"/>
          <w:szCs w:val="21"/>
        </w:rPr>
        <w:t>.</w:t>
      </w:r>
      <w:r>
        <w:rPr>
          <w:rFonts w:ascii="微软雅黑" w:eastAsia="微软雅黑" w:hAnsi="微软雅黑"/>
          <w:sz w:val="21"/>
          <w:szCs w:val="21"/>
        </w:rPr>
        <w:t>01</w:t>
      </w:r>
      <w:r>
        <w:rPr>
          <w:rFonts w:ascii="微软雅黑" w:eastAsia="微软雅黑" w:hAnsi="微软雅黑" w:hint="eastAsia"/>
          <w:sz w:val="21"/>
          <w:szCs w:val="21"/>
        </w:rPr>
        <w:t>-12.</w:t>
      </w:r>
      <w:r>
        <w:rPr>
          <w:rFonts w:ascii="微软雅黑" w:eastAsia="微软雅黑" w:hAnsi="微软雅黑"/>
          <w:sz w:val="21"/>
          <w:szCs w:val="21"/>
        </w:rPr>
        <w:t>01</w:t>
      </w:r>
    </w:p>
    <w:p w14:paraId="6E1FB28C" w14:textId="55011CAE" w:rsidR="004721B7" w:rsidRPr="00481039" w:rsidRDefault="00000000" w:rsidP="00481039">
      <w:pPr>
        <w:spacing w:after="240"/>
        <w:textAlignment w:val="baseline"/>
        <w:rPr>
          <w:rFonts w:ascii="微软雅黑" w:eastAsia="微软雅黑" w:hAnsi="微软雅黑"/>
          <w:sz w:val="21"/>
          <w:szCs w:val="21"/>
        </w:rPr>
      </w:pPr>
      <w:r>
        <w:rPr>
          <w:rFonts w:ascii="微软雅黑" w:eastAsia="微软雅黑" w:hAnsi="微软雅黑" w:hint="eastAsia"/>
          <w:b/>
          <w:sz w:val="21"/>
          <w:szCs w:val="21"/>
        </w:rPr>
        <w:t>参选类别</w:t>
      </w:r>
      <w:r>
        <w:rPr>
          <w:rFonts w:ascii="微软雅黑" w:eastAsia="微软雅黑" w:hAnsi="微软雅黑" w:hint="eastAsia"/>
          <w:sz w:val="21"/>
          <w:szCs w:val="21"/>
        </w:rPr>
        <w:t>：</w:t>
      </w:r>
      <w:r w:rsidR="00481039" w:rsidRPr="00481039">
        <w:rPr>
          <w:rFonts w:ascii="微软雅黑" w:eastAsia="微软雅黑" w:hAnsi="微软雅黑" w:hint="eastAsia"/>
          <w:sz w:val="21"/>
          <w:szCs w:val="21"/>
        </w:rPr>
        <w:t>效果营销类</w:t>
      </w:r>
    </w:p>
    <w:p w14:paraId="51118B83" w14:textId="77777777" w:rsidR="004721B7"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营销背景</w:t>
      </w:r>
    </w:p>
    <w:p w14:paraId="2921F4BC" w14:textId="77777777" w:rsidR="004721B7"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行业背景：证券行业线上化进程不断加速，APP成为服务和维护用户的重要渠道，多数头部券商移动端开户占比接近100%，用户规模在逐渐拉升。证券业绩稳健增长，线上</w:t>
      </w:r>
      <w:proofErr w:type="gramStart"/>
      <w:r>
        <w:rPr>
          <w:rFonts w:ascii="微软雅黑" w:eastAsia="微软雅黑" w:hAnsi="微软雅黑" w:hint="eastAsia"/>
          <w:sz w:val="21"/>
          <w:szCs w:val="21"/>
        </w:rPr>
        <w:t>获客成</w:t>
      </w:r>
      <w:proofErr w:type="gramEnd"/>
      <w:r>
        <w:rPr>
          <w:rFonts w:ascii="微软雅黑" w:eastAsia="微软雅黑" w:hAnsi="微软雅黑" w:hint="eastAsia"/>
          <w:sz w:val="21"/>
          <w:szCs w:val="21"/>
        </w:rPr>
        <w:t>用户增长新方向。</w:t>
      </w:r>
    </w:p>
    <w:p w14:paraId="3DD41476" w14:textId="0F870455" w:rsidR="004721B7" w:rsidRPr="00481039"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品牌背景：中信证券在我国券商行业综合实力排名第一，但在激烈的零售</w:t>
      </w:r>
      <w:proofErr w:type="gramStart"/>
      <w:r>
        <w:rPr>
          <w:rFonts w:ascii="微软雅黑" w:eastAsia="微软雅黑" w:hAnsi="微软雅黑" w:hint="eastAsia"/>
          <w:sz w:val="21"/>
          <w:szCs w:val="21"/>
        </w:rPr>
        <w:t>端市场</w:t>
      </w:r>
      <w:proofErr w:type="gramEnd"/>
      <w:r>
        <w:rPr>
          <w:rFonts w:ascii="微软雅黑" w:eastAsia="微软雅黑" w:hAnsi="微软雅黑" w:hint="eastAsia"/>
          <w:sz w:val="21"/>
          <w:szCs w:val="21"/>
        </w:rPr>
        <w:t>竞争下，面临客户规模增长压力，需要进行新渠道投放探索，提升用户规模。其核心用户呈现中高消费、年轻化趋势，需要把握实现财富管理转型的重要目标群体，与小米手机用户吻合，目标是渗透小米用户圈层。</w:t>
      </w:r>
    </w:p>
    <w:p w14:paraId="0C21B7F4" w14:textId="77777777" w:rsidR="004721B7"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营销目标</w:t>
      </w:r>
    </w:p>
    <w:p w14:paraId="049AD141" w14:textId="77777777" w:rsidR="004721B7" w:rsidRDefault="00000000">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hint="eastAsia"/>
          <w:b/>
          <w:bCs/>
          <w:sz w:val="21"/>
          <w:szCs w:val="21"/>
        </w:rPr>
        <w:t>K</w:t>
      </w:r>
      <w:r>
        <w:rPr>
          <w:rFonts w:ascii="微软雅黑" w:eastAsia="微软雅黑" w:hAnsi="微软雅黑"/>
          <w:b/>
          <w:bCs/>
          <w:sz w:val="21"/>
          <w:szCs w:val="21"/>
        </w:rPr>
        <w:t>PI</w:t>
      </w:r>
      <w:r>
        <w:rPr>
          <w:rFonts w:ascii="微软雅黑" w:eastAsia="微软雅黑" w:hAnsi="微软雅黑" w:hint="eastAsia"/>
          <w:b/>
          <w:bCs/>
          <w:sz w:val="21"/>
          <w:szCs w:val="21"/>
        </w:rPr>
        <w:t>要求：激活成本放宽50%，</w:t>
      </w:r>
      <w:proofErr w:type="gramStart"/>
      <w:r>
        <w:rPr>
          <w:rFonts w:ascii="微软雅黑" w:eastAsia="微软雅黑" w:hAnsi="微软雅黑" w:hint="eastAsia"/>
          <w:b/>
          <w:bCs/>
          <w:sz w:val="21"/>
          <w:szCs w:val="21"/>
        </w:rPr>
        <w:t>稳定提量</w:t>
      </w:r>
      <w:proofErr w:type="gramEnd"/>
      <w:r>
        <w:rPr>
          <w:rFonts w:ascii="微软雅黑" w:eastAsia="微软雅黑" w:hAnsi="微软雅黑" w:hint="eastAsia"/>
          <w:b/>
          <w:bCs/>
          <w:sz w:val="21"/>
          <w:szCs w:val="21"/>
        </w:rPr>
        <w:t>，日耗提升至5万+</w:t>
      </w:r>
    </w:p>
    <w:p w14:paraId="425A5446" w14:textId="77777777" w:rsidR="004721B7" w:rsidRPr="00481039" w:rsidRDefault="00000000">
      <w:pPr>
        <w:pStyle w:val="af6"/>
        <w:numPr>
          <w:ilvl w:val="0"/>
          <w:numId w:val="1"/>
        </w:numPr>
        <w:spacing w:before="100" w:beforeAutospacing="1" w:after="100" w:afterAutospacing="1"/>
        <w:ind w:firstLineChars="0"/>
        <w:rPr>
          <w:rFonts w:ascii="微软雅黑" w:eastAsia="微软雅黑" w:hAnsi="微软雅黑"/>
          <w:szCs w:val="21"/>
        </w:rPr>
      </w:pPr>
      <w:r w:rsidRPr="00481039">
        <w:rPr>
          <w:rFonts w:ascii="微软雅黑" w:eastAsia="微软雅黑" w:hAnsi="微软雅黑" w:hint="eastAsia"/>
          <w:szCs w:val="21"/>
        </w:rPr>
        <w:t>借助小米平台工具与技术，在成本可控范围内提升下载量与激活量；</w:t>
      </w:r>
    </w:p>
    <w:p w14:paraId="1E5FDAF9" w14:textId="77777777" w:rsidR="004721B7" w:rsidRPr="00481039" w:rsidRDefault="00000000">
      <w:pPr>
        <w:pStyle w:val="af6"/>
        <w:numPr>
          <w:ilvl w:val="0"/>
          <w:numId w:val="1"/>
        </w:numPr>
        <w:spacing w:before="100" w:beforeAutospacing="1" w:after="100" w:afterAutospacing="1"/>
        <w:ind w:firstLineChars="0"/>
        <w:rPr>
          <w:rFonts w:ascii="微软雅黑" w:eastAsia="微软雅黑" w:hAnsi="微软雅黑"/>
          <w:szCs w:val="21"/>
        </w:rPr>
      </w:pPr>
      <w:r w:rsidRPr="00481039">
        <w:rPr>
          <w:rFonts w:ascii="微软雅黑" w:eastAsia="微软雅黑" w:hAnsi="微软雅黑" w:hint="eastAsia"/>
          <w:szCs w:val="21"/>
        </w:rPr>
        <w:t>通过小米丰富的流量广告资源扩大用户覆盖面</w:t>
      </w:r>
      <w:r w:rsidRPr="00481039">
        <w:rPr>
          <w:rFonts w:ascii="微软雅黑" w:eastAsia="微软雅黑" w:hAnsi="微软雅黑"/>
          <w:szCs w:val="21"/>
        </w:rPr>
        <w:t>，提高</w:t>
      </w:r>
      <w:r w:rsidRPr="00481039">
        <w:rPr>
          <w:rFonts w:ascii="微软雅黑" w:eastAsia="微软雅黑" w:hAnsi="微软雅黑" w:hint="eastAsia"/>
          <w:szCs w:val="21"/>
        </w:rPr>
        <w:t>用户</w:t>
      </w:r>
      <w:r w:rsidRPr="00481039">
        <w:rPr>
          <w:rFonts w:ascii="微软雅黑" w:eastAsia="微软雅黑" w:hAnsi="微软雅黑"/>
          <w:szCs w:val="21"/>
        </w:rPr>
        <w:t>对品牌的认知度</w:t>
      </w:r>
      <w:r w:rsidRPr="00481039">
        <w:rPr>
          <w:rFonts w:ascii="微软雅黑" w:eastAsia="微软雅黑" w:hAnsi="微软雅黑" w:hint="eastAsia"/>
          <w:szCs w:val="21"/>
        </w:rPr>
        <w:t>；</w:t>
      </w:r>
    </w:p>
    <w:p w14:paraId="5E603841" w14:textId="77777777" w:rsidR="004721B7" w:rsidRPr="00481039" w:rsidRDefault="00000000">
      <w:pPr>
        <w:pStyle w:val="af6"/>
        <w:numPr>
          <w:ilvl w:val="0"/>
          <w:numId w:val="1"/>
        </w:numPr>
        <w:spacing w:before="100" w:beforeAutospacing="1" w:after="100" w:afterAutospacing="1"/>
        <w:ind w:firstLineChars="0"/>
        <w:rPr>
          <w:rFonts w:ascii="微软雅黑" w:eastAsia="微软雅黑" w:hAnsi="微软雅黑"/>
          <w:szCs w:val="21"/>
        </w:rPr>
      </w:pPr>
      <w:r w:rsidRPr="00481039">
        <w:rPr>
          <w:rFonts w:ascii="微软雅黑" w:eastAsia="微软雅黑" w:hAnsi="微软雅黑" w:hint="eastAsia"/>
          <w:szCs w:val="21"/>
        </w:rPr>
        <w:t>通过尝新，在流量入口寻找突破，提升产品品牌声量与获客；</w:t>
      </w:r>
    </w:p>
    <w:p w14:paraId="2C5AFF7D" w14:textId="77777777" w:rsidR="004721B7"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策略与创意</w:t>
      </w:r>
    </w:p>
    <w:p w14:paraId="3A082B23" w14:textId="77777777" w:rsidR="004721B7" w:rsidRDefault="00000000">
      <w:pPr>
        <w:spacing w:before="100" w:beforeAutospacing="1" w:after="100" w:afterAutospacing="1"/>
        <w:rPr>
          <w:rFonts w:ascii="微软雅黑" w:eastAsia="微软雅黑" w:hAnsi="微软雅黑"/>
          <w:sz w:val="21"/>
          <w:szCs w:val="21"/>
        </w:rPr>
      </w:pPr>
      <w:r>
        <w:rPr>
          <w:rFonts w:ascii="微软雅黑" w:eastAsia="微软雅黑" w:hAnsi="微软雅黑" w:hint="eastAsia"/>
          <w:b/>
          <w:bCs/>
          <w:sz w:val="21"/>
          <w:szCs w:val="21"/>
        </w:rPr>
        <w:t>营销策略：通过小米平台大数据定向及技术应用，结合多资源组合击穿消费者投资理财心动情景，同时结合品牌资源进行有效转化，</w:t>
      </w:r>
      <w:r>
        <w:rPr>
          <w:rFonts w:ascii="微软雅黑" w:eastAsia="微软雅黑" w:hAnsi="微软雅黑" w:hint="eastAsia"/>
          <w:b/>
          <w:sz w:val="21"/>
          <w:szCs w:val="21"/>
        </w:rPr>
        <w:t>从而达到品牌曝光和</w:t>
      </w:r>
      <w:proofErr w:type="gramStart"/>
      <w:r>
        <w:rPr>
          <w:rFonts w:ascii="微软雅黑" w:eastAsia="微软雅黑" w:hAnsi="微软雅黑" w:hint="eastAsia"/>
          <w:b/>
          <w:sz w:val="21"/>
          <w:szCs w:val="21"/>
        </w:rPr>
        <w:t>客群</w:t>
      </w:r>
      <w:proofErr w:type="gramEnd"/>
      <w:r>
        <w:rPr>
          <w:rFonts w:ascii="微软雅黑" w:eastAsia="微软雅黑" w:hAnsi="微软雅黑" w:hint="eastAsia"/>
          <w:b/>
          <w:sz w:val="21"/>
          <w:szCs w:val="21"/>
        </w:rPr>
        <w:t>引流。</w:t>
      </w:r>
    </w:p>
    <w:p w14:paraId="666BB78D" w14:textId="77777777" w:rsidR="004721B7"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亮点：</w:t>
      </w:r>
    </w:p>
    <w:p w14:paraId="4D6D9442" w14:textId="77777777" w:rsidR="004721B7" w:rsidRDefault="00000000">
      <w:pPr>
        <w:pStyle w:val="af6"/>
        <w:numPr>
          <w:ilvl w:val="0"/>
          <w:numId w:val="2"/>
        </w:numPr>
        <w:spacing w:before="100" w:beforeAutospacing="1" w:after="100" w:afterAutospacing="1"/>
        <w:ind w:firstLineChars="0"/>
        <w:textAlignment w:val="baseline"/>
        <w:rPr>
          <w:rFonts w:ascii="微软雅黑" w:eastAsia="微软雅黑" w:hAnsi="微软雅黑"/>
          <w:b/>
          <w:bCs/>
          <w:szCs w:val="21"/>
        </w:rPr>
      </w:pPr>
      <w:r>
        <w:rPr>
          <w:rFonts w:ascii="微软雅黑" w:eastAsia="微软雅黑" w:hAnsi="微软雅黑" w:hint="eastAsia"/>
          <w:b/>
          <w:bCs/>
          <w:szCs w:val="21"/>
        </w:rPr>
        <w:t>亮点1：多模式结合，根据不同目标多维度投放获量（</w:t>
      </w:r>
      <w:proofErr w:type="spellStart"/>
      <w:r>
        <w:rPr>
          <w:rFonts w:ascii="微软雅黑" w:eastAsia="微软雅黑" w:hAnsi="微软雅黑" w:hint="eastAsia"/>
          <w:b/>
          <w:bCs/>
          <w:szCs w:val="21"/>
        </w:rPr>
        <w:t>cpd</w:t>
      </w:r>
      <w:r>
        <w:rPr>
          <w:rFonts w:ascii="微软雅黑" w:eastAsia="微软雅黑" w:hAnsi="微软雅黑"/>
          <w:b/>
          <w:bCs/>
          <w:szCs w:val="21"/>
        </w:rPr>
        <w:t>+ocpd+ocpx</w:t>
      </w:r>
      <w:proofErr w:type="spellEnd"/>
      <w:r>
        <w:rPr>
          <w:rFonts w:ascii="微软雅黑" w:eastAsia="微软雅黑" w:hAnsi="微软雅黑" w:hint="eastAsia"/>
          <w:b/>
          <w:bCs/>
          <w:szCs w:val="21"/>
        </w:rPr>
        <w:t>）</w:t>
      </w:r>
    </w:p>
    <w:p w14:paraId="7FDD815D" w14:textId="77777777" w:rsidR="004721B7" w:rsidRDefault="00000000">
      <w:pPr>
        <w:pStyle w:val="af6"/>
        <w:numPr>
          <w:ilvl w:val="1"/>
          <w:numId w:val="2"/>
        </w:numPr>
        <w:spacing w:before="100" w:beforeAutospacing="1" w:after="100" w:afterAutospacing="1"/>
        <w:ind w:firstLineChars="0"/>
        <w:textAlignment w:val="baseline"/>
        <w:rPr>
          <w:rFonts w:ascii="微软雅黑" w:eastAsia="微软雅黑" w:hAnsi="微软雅黑"/>
          <w:szCs w:val="21"/>
        </w:rPr>
      </w:pPr>
      <w:proofErr w:type="spellStart"/>
      <w:r>
        <w:rPr>
          <w:rFonts w:ascii="微软雅黑" w:eastAsia="微软雅黑" w:hAnsi="微软雅黑"/>
          <w:szCs w:val="21"/>
        </w:rPr>
        <w:t>C</w:t>
      </w:r>
      <w:r>
        <w:rPr>
          <w:rFonts w:ascii="微软雅黑" w:eastAsia="微软雅黑" w:hAnsi="微软雅黑" w:hint="eastAsia"/>
          <w:szCs w:val="21"/>
        </w:rPr>
        <w:t>pd</w:t>
      </w:r>
      <w:proofErr w:type="spellEnd"/>
      <w:r>
        <w:rPr>
          <w:rFonts w:ascii="微软雅黑" w:eastAsia="微软雅黑" w:hAnsi="微软雅黑" w:hint="eastAsia"/>
          <w:szCs w:val="21"/>
        </w:rPr>
        <w:t>与</w:t>
      </w:r>
      <w:proofErr w:type="spellStart"/>
      <w:r>
        <w:rPr>
          <w:rFonts w:ascii="微软雅黑" w:eastAsia="微软雅黑" w:hAnsi="微软雅黑" w:hint="eastAsia"/>
          <w:szCs w:val="21"/>
        </w:rPr>
        <w:t>ocpd</w:t>
      </w:r>
      <w:proofErr w:type="spellEnd"/>
      <w:r>
        <w:rPr>
          <w:rFonts w:ascii="微软雅黑" w:eastAsia="微软雅黑" w:hAnsi="微软雅黑" w:hint="eastAsia"/>
          <w:szCs w:val="21"/>
        </w:rPr>
        <w:t>作为账户</w:t>
      </w:r>
      <w:proofErr w:type="gramStart"/>
      <w:r>
        <w:rPr>
          <w:rFonts w:ascii="微软雅黑" w:eastAsia="微软雅黑" w:hAnsi="微软雅黑" w:hint="eastAsia"/>
          <w:szCs w:val="21"/>
        </w:rPr>
        <w:t>基础获客</w:t>
      </w:r>
      <w:proofErr w:type="gramEnd"/>
      <w:r>
        <w:rPr>
          <w:rFonts w:ascii="微软雅黑" w:eastAsia="微软雅黑" w:hAnsi="微软雅黑" w:hint="eastAsia"/>
          <w:szCs w:val="21"/>
        </w:rPr>
        <w:t>模式，重点针对核心词下载与账户新增激活目标为主；</w:t>
      </w:r>
    </w:p>
    <w:p w14:paraId="6FB8C15F" w14:textId="77777777" w:rsidR="004721B7" w:rsidRDefault="00000000">
      <w:pPr>
        <w:pStyle w:val="af6"/>
        <w:numPr>
          <w:ilvl w:val="1"/>
          <w:numId w:val="2"/>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在小米数据基础上开发A</w:t>
      </w:r>
      <w:r>
        <w:rPr>
          <w:rFonts w:ascii="微软雅黑" w:eastAsia="微软雅黑" w:hAnsi="微软雅黑"/>
          <w:szCs w:val="21"/>
        </w:rPr>
        <w:t>PI</w:t>
      </w:r>
      <w:r>
        <w:rPr>
          <w:rFonts w:ascii="微软雅黑" w:eastAsia="微软雅黑" w:hAnsi="微软雅黑" w:hint="eastAsia"/>
          <w:szCs w:val="21"/>
        </w:rPr>
        <w:t>对接功能，以</w:t>
      </w:r>
      <w:proofErr w:type="spellStart"/>
      <w:r>
        <w:rPr>
          <w:rFonts w:ascii="微软雅黑" w:eastAsia="微软雅黑" w:hAnsi="微软雅黑" w:hint="eastAsia"/>
          <w:szCs w:val="21"/>
        </w:rPr>
        <w:t>ocpx</w:t>
      </w:r>
      <w:proofErr w:type="spellEnd"/>
      <w:r>
        <w:rPr>
          <w:rFonts w:ascii="微软雅黑" w:eastAsia="微软雅黑" w:hAnsi="微软雅黑" w:hint="eastAsia"/>
          <w:szCs w:val="21"/>
        </w:rPr>
        <w:t>模式进一步优化激活成本。</w:t>
      </w:r>
    </w:p>
    <w:p w14:paraId="1DDF4BA1" w14:textId="77777777" w:rsidR="004721B7" w:rsidRDefault="00000000">
      <w:pPr>
        <w:pStyle w:val="af6"/>
        <w:numPr>
          <w:ilvl w:val="0"/>
          <w:numId w:val="2"/>
        </w:numPr>
        <w:spacing w:before="100" w:beforeAutospacing="1" w:after="100" w:afterAutospacing="1"/>
        <w:ind w:firstLineChars="0"/>
        <w:textAlignment w:val="baseline"/>
        <w:rPr>
          <w:rFonts w:ascii="微软雅黑" w:eastAsia="微软雅黑" w:hAnsi="微软雅黑"/>
          <w:b/>
          <w:bCs/>
          <w:szCs w:val="21"/>
        </w:rPr>
      </w:pPr>
      <w:r>
        <w:rPr>
          <w:rFonts w:ascii="微软雅黑" w:eastAsia="微软雅黑" w:hAnsi="微软雅黑" w:hint="eastAsia"/>
          <w:b/>
          <w:bCs/>
          <w:szCs w:val="21"/>
        </w:rPr>
        <w:t>亮点2：多场景</w:t>
      </w:r>
      <w:proofErr w:type="gramStart"/>
      <w:r>
        <w:rPr>
          <w:rFonts w:ascii="微软雅黑" w:eastAsia="微软雅黑" w:hAnsi="微软雅黑" w:hint="eastAsia"/>
          <w:b/>
          <w:bCs/>
          <w:szCs w:val="21"/>
        </w:rPr>
        <w:t>触达目标</w:t>
      </w:r>
      <w:proofErr w:type="gramEnd"/>
      <w:r>
        <w:rPr>
          <w:rFonts w:ascii="微软雅黑" w:eastAsia="微软雅黑" w:hAnsi="微软雅黑" w:hint="eastAsia"/>
          <w:b/>
          <w:bCs/>
          <w:szCs w:val="21"/>
        </w:rPr>
        <w:t>用户</w:t>
      </w:r>
    </w:p>
    <w:p w14:paraId="1A652B8B" w14:textId="77777777" w:rsidR="004721B7" w:rsidRDefault="00000000">
      <w:pPr>
        <w:pStyle w:val="af6"/>
        <w:numPr>
          <w:ilvl w:val="1"/>
          <w:numId w:val="2"/>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以</w:t>
      </w:r>
      <w:proofErr w:type="spellStart"/>
      <w:r>
        <w:rPr>
          <w:rFonts w:ascii="微软雅黑" w:eastAsia="微软雅黑" w:hAnsi="微软雅黑" w:hint="eastAsia"/>
          <w:szCs w:val="21"/>
        </w:rPr>
        <w:t>ocpx</w:t>
      </w:r>
      <w:proofErr w:type="spellEnd"/>
      <w:r>
        <w:rPr>
          <w:rFonts w:ascii="微软雅黑" w:eastAsia="微软雅黑" w:hAnsi="微软雅黑" w:hint="eastAsia"/>
          <w:szCs w:val="21"/>
        </w:rPr>
        <w:t>模型</w:t>
      </w:r>
      <w:proofErr w:type="gramStart"/>
      <w:r>
        <w:rPr>
          <w:rFonts w:ascii="微软雅黑" w:eastAsia="微软雅黑" w:hAnsi="微软雅黑" w:hint="eastAsia"/>
          <w:szCs w:val="21"/>
        </w:rPr>
        <w:t>跑量稳定</w:t>
      </w:r>
      <w:proofErr w:type="gramEnd"/>
      <w:r>
        <w:rPr>
          <w:rFonts w:ascii="微软雅黑" w:eastAsia="微软雅黑" w:hAnsi="微软雅黑" w:hint="eastAsia"/>
          <w:szCs w:val="21"/>
        </w:rPr>
        <w:t>的优势，开发更多</w:t>
      </w:r>
      <w:proofErr w:type="gramStart"/>
      <w:r>
        <w:rPr>
          <w:rFonts w:ascii="微软雅黑" w:eastAsia="微软雅黑" w:hAnsi="微软雅黑" w:hint="eastAsia"/>
          <w:szCs w:val="21"/>
        </w:rPr>
        <w:t>资源位</w:t>
      </w:r>
      <w:proofErr w:type="gramEnd"/>
      <w:r>
        <w:rPr>
          <w:rFonts w:ascii="微软雅黑" w:eastAsia="微软雅黑" w:hAnsi="微软雅黑" w:hint="eastAsia"/>
          <w:szCs w:val="21"/>
        </w:rPr>
        <w:t>测试，突破获量瓶颈；新增推荐资源“应用相关推荐、首页富媒体、排行榜”等，搜索位拓展更多关联词汇测试，覆盖更多意向用</w:t>
      </w:r>
      <w:r>
        <w:rPr>
          <w:rFonts w:ascii="微软雅黑" w:eastAsia="微软雅黑" w:hAnsi="微软雅黑" w:hint="eastAsia"/>
          <w:szCs w:val="21"/>
        </w:rPr>
        <w:lastRenderedPageBreak/>
        <w:t>户；</w:t>
      </w:r>
    </w:p>
    <w:p w14:paraId="364434FC" w14:textId="77777777" w:rsidR="004721B7" w:rsidRDefault="00000000">
      <w:pPr>
        <w:pStyle w:val="af6"/>
        <w:numPr>
          <w:ilvl w:val="0"/>
          <w:numId w:val="2"/>
        </w:numPr>
        <w:spacing w:before="100" w:beforeAutospacing="1" w:after="100" w:afterAutospacing="1"/>
        <w:ind w:firstLineChars="0"/>
        <w:textAlignment w:val="baseline"/>
        <w:rPr>
          <w:rFonts w:ascii="微软雅黑" w:eastAsia="微软雅黑" w:hAnsi="微软雅黑"/>
          <w:b/>
          <w:bCs/>
          <w:szCs w:val="21"/>
        </w:rPr>
      </w:pPr>
      <w:r>
        <w:rPr>
          <w:rFonts w:ascii="微软雅黑" w:eastAsia="微软雅黑" w:hAnsi="微软雅黑" w:hint="eastAsia"/>
          <w:b/>
          <w:bCs/>
          <w:szCs w:val="21"/>
        </w:rPr>
        <w:t>亮点3：精准曝光，抢夺目标用户关注</w:t>
      </w:r>
    </w:p>
    <w:p w14:paraId="71B177F1" w14:textId="77777777" w:rsidR="004721B7" w:rsidRDefault="00000000">
      <w:pPr>
        <w:pStyle w:val="af6"/>
        <w:numPr>
          <w:ilvl w:val="1"/>
          <w:numId w:val="2"/>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利用小米</w:t>
      </w:r>
      <w:r>
        <w:rPr>
          <w:rFonts w:ascii="微软雅黑" w:eastAsia="微软雅黑" w:hAnsi="微软雅黑"/>
          <w:szCs w:val="21"/>
        </w:rPr>
        <w:t>DMP</w:t>
      </w:r>
      <w:r>
        <w:rPr>
          <w:rFonts w:ascii="微软雅黑" w:eastAsia="微软雅黑" w:hAnsi="微软雅黑" w:hint="eastAsia"/>
          <w:szCs w:val="21"/>
        </w:rPr>
        <w:t>平台圈选金融相关人群定投，以最佳转化人群持续投放，竞价提升进一步</w:t>
      </w:r>
      <w:proofErr w:type="gramStart"/>
      <w:r>
        <w:rPr>
          <w:rFonts w:ascii="微软雅黑" w:eastAsia="微软雅黑" w:hAnsi="微软雅黑" w:hint="eastAsia"/>
          <w:szCs w:val="21"/>
        </w:rPr>
        <w:t>探测获客空间</w:t>
      </w:r>
      <w:proofErr w:type="gramEnd"/>
      <w:r>
        <w:rPr>
          <w:rFonts w:ascii="微软雅黑" w:eastAsia="微软雅黑" w:hAnsi="微软雅黑" w:hint="eastAsia"/>
          <w:szCs w:val="21"/>
        </w:rPr>
        <w:t>；</w:t>
      </w:r>
    </w:p>
    <w:p w14:paraId="405354EF" w14:textId="77777777" w:rsidR="004721B7" w:rsidRDefault="00000000">
      <w:pPr>
        <w:pStyle w:val="af6"/>
        <w:numPr>
          <w:ilvl w:val="0"/>
          <w:numId w:val="2"/>
        </w:numPr>
        <w:spacing w:before="100" w:beforeAutospacing="1" w:after="100" w:afterAutospacing="1"/>
        <w:ind w:firstLineChars="0"/>
        <w:textAlignment w:val="baseline"/>
        <w:rPr>
          <w:rFonts w:ascii="微软雅黑" w:eastAsia="微软雅黑" w:hAnsi="微软雅黑"/>
          <w:b/>
          <w:bCs/>
          <w:szCs w:val="21"/>
        </w:rPr>
      </w:pPr>
      <w:r>
        <w:rPr>
          <w:rFonts w:ascii="微软雅黑" w:eastAsia="微软雅黑" w:hAnsi="微软雅黑" w:hint="eastAsia"/>
          <w:b/>
          <w:bCs/>
          <w:szCs w:val="21"/>
        </w:rPr>
        <w:t>亮点4：</w:t>
      </w:r>
      <w:proofErr w:type="gramStart"/>
      <w:r>
        <w:rPr>
          <w:rFonts w:ascii="微软雅黑" w:eastAsia="微软雅黑" w:hAnsi="微软雅黑" w:hint="eastAsia"/>
          <w:b/>
          <w:bCs/>
          <w:szCs w:val="21"/>
        </w:rPr>
        <w:t>品效合一</w:t>
      </w:r>
      <w:proofErr w:type="gramEnd"/>
      <w:r>
        <w:rPr>
          <w:rFonts w:ascii="微软雅黑" w:eastAsia="微软雅黑" w:hAnsi="微软雅黑" w:hint="eastAsia"/>
          <w:b/>
          <w:bCs/>
          <w:szCs w:val="21"/>
        </w:rPr>
        <w:t>，精准获客</w:t>
      </w:r>
    </w:p>
    <w:p w14:paraId="0F363B4B" w14:textId="2D5C38D2" w:rsidR="004721B7" w:rsidRPr="00481039" w:rsidRDefault="00000000" w:rsidP="00481039">
      <w:pPr>
        <w:pStyle w:val="af6"/>
        <w:numPr>
          <w:ilvl w:val="1"/>
          <w:numId w:val="2"/>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覆盖商店与非商店多资源曝光，资源场景包括商店搜索</w:t>
      </w:r>
      <w:proofErr w:type="spellStart"/>
      <w:r>
        <w:rPr>
          <w:rFonts w:ascii="微软雅黑" w:eastAsia="微软雅黑" w:hAnsi="微软雅黑" w:hint="eastAsia"/>
          <w:szCs w:val="21"/>
        </w:rPr>
        <w:t>sug</w:t>
      </w:r>
      <w:proofErr w:type="spellEnd"/>
      <w:r>
        <w:rPr>
          <w:rFonts w:ascii="微软雅黑" w:eastAsia="微软雅黑" w:hAnsi="微软雅黑" w:hint="eastAsia"/>
          <w:szCs w:val="21"/>
        </w:rPr>
        <w:t>与结果页，首页理财</w:t>
      </w:r>
      <w:proofErr w:type="gramStart"/>
      <w:r>
        <w:rPr>
          <w:rFonts w:ascii="微软雅黑" w:eastAsia="微软雅黑" w:hAnsi="微软雅黑" w:hint="eastAsia"/>
          <w:szCs w:val="21"/>
        </w:rPr>
        <w:t>版块</w:t>
      </w:r>
      <w:proofErr w:type="gramEnd"/>
      <w:r>
        <w:rPr>
          <w:rFonts w:ascii="微软雅黑" w:eastAsia="微软雅黑" w:hAnsi="微软雅黑" w:hint="eastAsia"/>
          <w:szCs w:val="21"/>
        </w:rPr>
        <w:t>与开屏，非商店包括push与桌面负</w:t>
      </w:r>
      <w:proofErr w:type="gramStart"/>
      <w:r>
        <w:rPr>
          <w:rFonts w:ascii="微软雅黑" w:eastAsia="微软雅黑" w:hAnsi="微软雅黑" w:hint="eastAsia"/>
          <w:szCs w:val="21"/>
        </w:rPr>
        <w:t>一屏股票</w:t>
      </w:r>
      <w:proofErr w:type="gramEnd"/>
      <w:r>
        <w:rPr>
          <w:rFonts w:ascii="微软雅黑" w:eastAsia="微软雅黑" w:hAnsi="微软雅黑" w:hint="eastAsia"/>
          <w:szCs w:val="21"/>
        </w:rPr>
        <w:t>卡片，与效果结合双向获客，拦截行业流量；</w:t>
      </w:r>
    </w:p>
    <w:p w14:paraId="2E8D7108" w14:textId="77777777" w:rsidR="004721B7"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执行过程/媒体表现</w:t>
      </w:r>
    </w:p>
    <w:p w14:paraId="03361002" w14:textId="77777777" w:rsidR="004721B7" w:rsidRDefault="00000000">
      <w:pPr>
        <w:pStyle w:val="af6"/>
        <w:numPr>
          <w:ilvl w:val="0"/>
          <w:numId w:val="3"/>
        </w:numPr>
        <w:spacing w:before="100" w:beforeAutospacing="1" w:after="100" w:afterAutospacing="1"/>
        <w:ind w:firstLineChars="0"/>
        <w:textAlignment w:val="baseline"/>
        <w:rPr>
          <w:rFonts w:ascii="微软雅黑" w:eastAsia="微软雅黑" w:hAnsi="微软雅黑"/>
          <w:b/>
          <w:bCs/>
          <w:szCs w:val="21"/>
        </w:rPr>
      </w:pPr>
      <w:proofErr w:type="spellStart"/>
      <w:r>
        <w:rPr>
          <w:rFonts w:ascii="微软雅黑" w:eastAsia="微软雅黑" w:hAnsi="微软雅黑"/>
          <w:b/>
          <w:bCs/>
          <w:szCs w:val="21"/>
        </w:rPr>
        <w:t>ocpx</w:t>
      </w:r>
      <w:proofErr w:type="spellEnd"/>
      <w:r>
        <w:rPr>
          <w:rFonts w:ascii="微软雅黑" w:eastAsia="微软雅黑" w:hAnsi="微软雅黑" w:hint="eastAsia"/>
          <w:b/>
          <w:bCs/>
          <w:szCs w:val="21"/>
        </w:rPr>
        <w:t>技术运用，精细化运营每条创意，稳定账户转化成本（9</w:t>
      </w:r>
      <w:r>
        <w:rPr>
          <w:rFonts w:ascii="微软雅黑" w:eastAsia="微软雅黑" w:hAnsi="微软雅黑"/>
          <w:b/>
          <w:bCs/>
          <w:szCs w:val="21"/>
        </w:rPr>
        <w:t>.5-9.16</w:t>
      </w:r>
      <w:r>
        <w:rPr>
          <w:rFonts w:ascii="微软雅黑" w:eastAsia="微软雅黑" w:hAnsi="微软雅黑" w:hint="eastAsia"/>
          <w:b/>
          <w:bCs/>
          <w:szCs w:val="21"/>
        </w:rPr>
        <w:t>）</w:t>
      </w:r>
    </w:p>
    <w:p w14:paraId="4C10D6DF"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在</w:t>
      </w:r>
      <w:proofErr w:type="spellStart"/>
      <w:r>
        <w:rPr>
          <w:rFonts w:ascii="微软雅黑" w:eastAsia="微软雅黑" w:hAnsi="微软雅黑" w:hint="eastAsia"/>
          <w:szCs w:val="21"/>
        </w:rPr>
        <w:t>cpd</w:t>
      </w:r>
      <w:proofErr w:type="spellEnd"/>
      <w:r>
        <w:rPr>
          <w:rFonts w:ascii="微软雅黑" w:eastAsia="微软雅黑" w:hAnsi="微软雅黑" w:hint="eastAsia"/>
          <w:szCs w:val="21"/>
        </w:rPr>
        <w:t>与</w:t>
      </w:r>
      <w:proofErr w:type="spellStart"/>
      <w:r>
        <w:rPr>
          <w:rFonts w:ascii="微软雅黑" w:eastAsia="微软雅黑" w:hAnsi="微软雅黑" w:hint="eastAsia"/>
          <w:szCs w:val="21"/>
        </w:rPr>
        <w:t>ocpd</w:t>
      </w:r>
      <w:proofErr w:type="spellEnd"/>
      <w:r>
        <w:rPr>
          <w:rFonts w:ascii="微软雅黑" w:eastAsia="微软雅黑" w:hAnsi="微软雅黑" w:hint="eastAsia"/>
          <w:szCs w:val="21"/>
        </w:rPr>
        <w:t>投放基础上，开发A</w:t>
      </w:r>
      <w:r>
        <w:rPr>
          <w:rFonts w:ascii="微软雅黑" w:eastAsia="微软雅黑" w:hAnsi="微软雅黑"/>
          <w:szCs w:val="21"/>
        </w:rPr>
        <w:t>PI</w:t>
      </w:r>
      <w:r>
        <w:rPr>
          <w:rFonts w:ascii="微软雅黑" w:eastAsia="微软雅黑" w:hAnsi="微软雅黑" w:hint="eastAsia"/>
          <w:szCs w:val="21"/>
        </w:rPr>
        <w:t>激活对接，</w:t>
      </w:r>
      <w:proofErr w:type="spellStart"/>
      <w:r>
        <w:rPr>
          <w:rFonts w:ascii="微软雅黑" w:eastAsia="微软雅黑" w:hAnsi="微软雅黑" w:hint="eastAsia"/>
          <w:szCs w:val="21"/>
        </w:rPr>
        <w:t>ocpx</w:t>
      </w:r>
      <w:proofErr w:type="spellEnd"/>
      <w:proofErr w:type="gramStart"/>
      <w:r>
        <w:rPr>
          <w:rFonts w:ascii="微软雅黑" w:eastAsia="微软雅黑" w:hAnsi="微软雅黑" w:hint="eastAsia"/>
          <w:szCs w:val="21"/>
        </w:rPr>
        <w:t>跑量更</w:t>
      </w:r>
      <w:proofErr w:type="gramEnd"/>
      <w:r>
        <w:rPr>
          <w:rFonts w:ascii="微软雅黑" w:eastAsia="微软雅黑" w:hAnsi="微软雅黑" w:hint="eastAsia"/>
          <w:szCs w:val="21"/>
        </w:rPr>
        <w:t>稳定，提升增量效率；</w:t>
      </w:r>
    </w:p>
    <w:p w14:paraId="3D10010E"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通过实时数据回传监测每个位置创意数据，及时调整高成本问题，优质计划放宽调整加大获量；</w:t>
      </w:r>
    </w:p>
    <w:p w14:paraId="2A0550FA"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结合</w:t>
      </w:r>
      <w:proofErr w:type="spellStart"/>
      <w:r>
        <w:rPr>
          <w:rFonts w:ascii="微软雅黑" w:eastAsia="微软雅黑" w:hAnsi="微软雅黑" w:hint="eastAsia"/>
          <w:szCs w:val="21"/>
        </w:rPr>
        <w:t>o</w:t>
      </w:r>
      <w:r>
        <w:rPr>
          <w:rFonts w:ascii="微软雅黑" w:eastAsia="微软雅黑" w:hAnsi="微软雅黑"/>
          <w:szCs w:val="21"/>
        </w:rPr>
        <w:t>cpx</w:t>
      </w:r>
      <w:proofErr w:type="spellEnd"/>
      <w:r>
        <w:rPr>
          <w:rFonts w:ascii="微软雅黑" w:eastAsia="微软雅黑" w:hAnsi="微软雅黑" w:hint="eastAsia"/>
          <w:szCs w:val="21"/>
        </w:rPr>
        <w:t>模型对资源的投放优化，账户激活成本下降1</w:t>
      </w:r>
      <w:r>
        <w:rPr>
          <w:rFonts w:ascii="微软雅黑" w:eastAsia="微软雅黑" w:hAnsi="微软雅黑"/>
          <w:szCs w:val="21"/>
        </w:rPr>
        <w:t>4%,</w:t>
      </w:r>
      <w:r>
        <w:rPr>
          <w:rFonts w:ascii="微软雅黑" w:eastAsia="微软雅黑" w:hAnsi="微软雅黑" w:hint="eastAsia"/>
          <w:szCs w:val="21"/>
        </w:rPr>
        <w:t>消耗提升6</w:t>
      </w:r>
      <w:r>
        <w:rPr>
          <w:rFonts w:ascii="微软雅黑" w:eastAsia="微软雅黑" w:hAnsi="微软雅黑"/>
          <w:szCs w:val="21"/>
        </w:rPr>
        <w:t>0%</w:t>
      </w:r>
      <w:r>
        <w:rPr>
          <w:rFonts w:ascii="微软雅黑" w:eastAsia="微软雅黑" w:hAnsi="微软雅黑" w:hint="eastAsia"/>
          <w:szCs w:val="21"/>
        </w:rPr>
        <w:t>；</w:t>
      </w:r>
    </w:p>
    <w:p w14:paraId="290046F6" w14:textId="77777777" w:rsidR="004721B7" w:rsidRDefault="00000000">
      <w:pPr>
        <w:spacing w:before="100" w:beforeAutospacing="1" w:after="100" w:afterAutospacing="1"/>
        <w:ind w:left="420" w:firstLineChars="700" w:firstLine="1680"/>
        <w:textAlignment w:val="baseline"/>
        <w:rPr>
          <w:rFonts w:ascii="微软雅黑" w:eastAsia="微软雅黑" w:hAnsi="微软雅黑"/>
          <w:szCs w:val="21"/>
        </w:rPr>
      </w:pPr>
      <w:r>
        <w:rPr>
          <w:noProof/>
        </w:rPr>
        <w:drawing>
          <wp:inline distT="0" distB="0" distL="0" distR="0" wp14:anchorId="2173569E" wp14:editId="60CEC1B7">
            <wp:extent cx="2764790" cy="1939925"/>
            <wp:effectExtent l="0" t="0" r="0" b="31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stretch>
                      <a:fillRect/>
                    </a:stretch>
                  </pic:blipFill>
                  <pic:spPr>
                    <a:xfrm>
                      <a:off x="0" y="0"/>
                      <a:ext cx="2764800" cy="1940400"/>
                    </a:xfrm>
                    <a:prstGeom prst="rect">
                      <a:avLst/>
                    </a:prstGeom>
                  </pic:spPr>
                </pic:pic>
              </a:graphicData>
            </a:graphic>
          </wp:inline>
        </w:drawing>
      </w:r>
    </w:p>
    <w:p w14:paraId="0AAF116E" w14:textId="77777777" w:rsidR="004721B7" w:rsidRDefault="00000000">
      <w:pPr>
        <w:pStyle w:val="af6"/>
        <w:numPr>
          <w:ilvl w:val="0"/>
          <w:numId w:val="3"/>
        </w:numPr>
        <w:spacing w:before="100" w:beforeAutospacing="1" w:after="100" w:afterAutospacing="1"/>
        <w:ind w:firstLineChars="0"/>
        <w:textAlignment w:val="baseline"/>
        <w:rPr>
          <w:rFonts w:ascii="微软雅黑" w:eastAsia="微软雅黑" w:hAnsi="微软雅黑"/>
          <w:b/>
          <w:bCs/>
          <w:szCs w:val="21"/>
        </w:rPr>
      </w:pPr>
      <w:r>
        <w:rPr>
          <w:rFonts w:ascii="微软雅黑" w:eastAsia="微软雅黑" w:hAnsi="微软雅黑" w:hint="eastAsia"/>
          <w:b/>
          <w:bCs/>
          <w:szCs w:val="21"/>
        </w:rPr>
        <w:t>资源布局优化，在成本稳定前提下</w:t>
      </w:r>
      <w:proofErr w:type="gramStart"/>
      <w:r>
        <w:rPr>
          <w:rFonts w:ascii="微软雅黑" w:eastAsia="微软雅黑" w:hAnsi="微软雅黑" w:hint="eastAsia"/>
          <w:b/>
          <w:bCs/>
          <w:szCs w:val="21"/>
        </w:rPr>
        <w:t>全面提量高</w:t>
      </w:r>
      <w:proofErr w:type="gramEnd"/>
      <w:r>
        <w:rPr>
          <w:rFonts w:ascii="微软雅黑" w:eastAsia="微软雅黑" w:hAnsi="微软雅黑" w:hint="eastAsia"/>
          <w:b/>
          <w:bCs/>
          <w:szCs w:val="21"/>
        </w:rPr>
        <w:t>转化资源位置（9</w:t>
      </w:r>
      <w:r>
        <w:rPr>
          <w:rFonts w:ascii="微软雅黑" w:eastAsia="微软雅黑" w:hAnsi="微软雅黑"/>
          <w:b/>
          <w:bCs/>
          <w:szCs w:val="21"/>
        </w:rPr>
        <w:t>.26-10.15</w:t>
      </w:r>
      <w:r>
        <w:rPr>
          <w:rFonts w:ascii="微软雅黑" w:eastAsia="微软雅黑" w:hAnsi="微软雅黑" w:hint="eastAsia"/>
          <w:b/>
          <w:bCs/>
          <w:szCs w:val="21"/>
        </w:rPr>
        <w:t>）</w:t>
      </w:r>
    </w:p>
    <w:p w14:paraId="793C5611"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精品</w:t>
      </w:r>
      <w:proofErr w:type="spellStart"/>
      <w:r>
        <w:rPr>
          <w:rFonts w:ascii="微软雅黑" w:eastAsia="微软雅黑" w:hAnsi="微软雅黑" w:hint="eastAsia"/>
          <w:szCs w:val="21"/>
        </w:rPr>
        <w:t>ocpx</w:t>
      </w:r>
      <w:proofErr w:type="spellEnd"/>
      <w:r>
        <w:rPr>
          <w:rFonts w:ascii="微软雅黑" w:eastAsia="微软雅黑" w:hAnsi="微软雅黑" w:hint="eastAsia"/>
          <w:szCs w:val="21"/>
        </w:rPr>
        <w:t>投放稳定后拓展更多推荐位置，成本最优</w:t>
      </w:r>
      <w:proofErr w:type="gramStart"/>
      <w:r>
        <w:rPr>
          <w:rFonts w:ascii="微软雅黑" w:eastAsia="微软雅黑" w:hAnsi="微软雅黑" w:hint="eastAsia"/>
          <w:szCs w:val="21"/>
        </w:rPr>
        <w:t>资源位提量</w:t>
      </w:r>
      <w:proofErr w:type="gramEnd"/>
      <w:r>
        <w:rPr>
          <w:rFonts w:ascii="微软雅黑" w:eastAsia="微软雅黑" w:hAnsi="微软雅黑" w:hint="eastAsia"/>
          <w:szCs w:val="21"/>
        </w:rPr>
        <w:t>投放；</w:t>
      </w:r>
    </w:p>
    <w:p w14:paraId="1ABEB15B"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推荐位置相继开发首页富媒体、应用相关推荐、排行榜、开机必备等，全面覆盖商店资源板块，资源版位</w:t>
      </w:r>
      <w:proofErr w:type="gramStart"/>
      <w:r>
        <w:rPr>
          <w:rFonts w:ascii="微软雅黑" w:eastAsia="微软雅黑" w:hAnsi="微软雅黑" w:hint="eastAsia"/>
          <w:szCs w:val="21"/>
        </w:rPr>
        <w:t>位</w:t>
      </w:r>
      <w:proofErr w:type="gramEnd"/>
      <w:r>
        <w:rPr>
          <w:rFonts w:ascii="微软雅黑" w:eastAsia="微软雅黑" w:hAnsi="微软雅黑" w:hint="eastAsia"/>
          <w:szCs w:val="21"/>
        </w:rPr>
        <w:t>对比优化前提升3</w:t>
      </w:r>
      <w:r>
        <w:rPr>
          <w:rFonts w:ascii="微软雅黑" w:eastAsia="微软雅黑" w:hAnsi="微软雅黑"/>
          <w:szCs w:val="21"/>
        </w:rPr>
        <w:t>00%</w:t>
      </w:r>
      <w:r>
        <w:rPr>
          <w:rFonts w:ascii="微软雅黑" w:eastAsia="微软雅黑" w:hAnsi="微软雅黑" w:hint="eastAsia"/>
          <w:szCs w:val="21"/>
        </w:rPr>
        <w:t>；</w:t>
      </w:r>
    </w:p>
    <w:p w14:paraId="20A6A82F"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测试结果：首页</w:t>
      </w:r>
      <w:proofErr w:type="gramStart"/>
      <w:r>
        <w:rPr>
          <w:rFonts w:ascii="微软雅黑" w:eastAsia="微软雅黑" w:hAnsi="微软雅黑" w:hint="eastAsia"/>
          <w:szCs w:val="21"/>
        </w:rPr>
        <w:t>富媒体</w:t>
      </w:r>
      <w:proofErr w:type="gramEnd"/>
      <w:r>
        <w:rPr>
          <w:rFonts w:ascii="微软雅黑" w:eastAsia="微软雅黑" w:hAnsi="微软雅黑" w:hint="eastAsia"/>
          <w:szCs w:val="21"/>
        </w:rPr>
        <w:t>与应用相关推荐成本达最佳，其他位置分配推荐位</w:t>
      </w:r>
      <w:r>
        <w:rPr>
          <w:rFonts w:ascii="微软雅黑" w:eastAsia="微软雅黑" w:hAnsi="微软雅黑"/>
          <w:szCs w:val="21"/>
        </w:rPr>
        <w:t>20%</w:t>
      </w:r>
      <w:r>
        <w:rPr>
          <w:rFonts w:ascii="微软雅黑" w:eastAsia="微软雅黑" w:hAnsi="微软雅黑" w:hint="eastAsia"/>
          <w:szCs w:val="21"/>
        </w:rPr>
        <w:t>预算低价辅助获量；</w:t>
      </w:r>
    </w:p>
    <w:p w14:paraId="348EC86D"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推荐位置增量对比日耗提升250%，激活量提升160%；</w:t>
      </w:r>
    </w:p>
    <w:p w14:paraId="64ABBDA9" w14:textId="77777777" w:rsidR="004721B7" w:rsidRDefault="00000000">
      <w:pPr>
        <w:spacing w:before="100" w:beforeAutospacing="1" w:after="100" w:afterAutospacing="1"/>
        <w:ind w:left="840" w:firstLineChars="600" w:firstLine="1440"/>
        <w:textAlignment w:val="baseline"/>
        <w:rPr>
          <w:rFonts w:ascii="微软雅黑" w:eastAsia="微软雅黑" w:hAnsi="微软雅黑"/>
          <w:szCs w:val="21"/>
        </w:rPr>
      </w:pPr>
      <w:r>
        <w:rPr>
          <w:noProof/>
        </w:rPr>
        <w:drawing>
          <wp:inline distT="0" distB="0" distL="0" distR="0" wp14:anchorId="76EA6CE8" wp14:editId="1A6101E9">
            <wp:extent cx="3177540" cy="200406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177815" cy="2004234"/>
                    </a:xfrm>
                    <a:prstGeom prst="rect">
                      <a:avLst/>
                    </a:prstGeom>
                  </pic:spPr>
                </pic:pic>
              </a:graphicData>
            </a:graphic>
          </wp:inline>
        </w:drawing>
      </w:r>
    </w:p>
    <w:p w14:paraId="2B97E1D9" w14:textId="77777777" w:rsidR="004721B7" w:rsidRDefault="00000000">
      <w:pPr>
        <w:pStyle w:val="af6"/>
        <w:numPr>
          <w:ilvl w:val="0"/>
          <w:numId w:val="3"/>
        </w:numPr>
        <w:spacing w:before="100" w:beforeAutospacing="1" w:after="100" w:afterAutospacing="1"/>
        <w:ind w:firstLineChars="0"/>
        <w:textAlignment w:val="baseline"/>
        <w:rPr>
          <w:rFonts w:ascii="微软雅黑" w:eastAsia="微软雅黑" w:hAnsi="微软雅黑"/>
          <w:b/>
          <w:bCs/>
          <w:szCs w:val="21"/>
        </w:rPr>
      </w:pPr>
      <w:r>
        <w:rPr>
          <w:rFonts w:ascii="微软雅黑" w:eastAsia="微软雅黑" w:hAnsi="微软雅黑" w:hint="eastAsia"/>
          <w:b/>
          <w:bCs/>
          <w:szCs w:val="21"/>
        </w:rPr>
        <w:t>目标人群挖掘：多维度覆盖意向人群测试，提升账户激活量（1</w:t>
      </w:r>
      <w:r>
        <w:rPr>
          <w:rFonts w:ascii="微软雅黑" w:eastAsia="微软雅黑" w:hAnsi="微软雅黑"/>
          <w:b/>
          <w:bCs/>
          <w:szCs w:val="21"/>
        </w:rPr>
        <w:t>0.16-10.21</w:t>
      </w:r>
      <w:r>
        <w:rPr>
          <w:rFonts w:ascii="微软雅黑" w:eastAsia="微软雅黑" w:hAnsi="微软雅黑" w:hint="eastAsia"/>
          <w:b/>
          <w:bCs/>
          <w:szCs w:val="21"/>
        </w:rPr>
        <w:t>）</w:t>
      </w:r>
    </w:p>
    <w:p w14:paraId="7CC0196B"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圈选不同人群测试，筛选高转化标签，进一步提升精品激活率；</w:t>
      </w:r>
    </w:p>
    <w:p w14:paraId="709C2B09"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根据数据情况进行优胜略</w:t>
      </w:r>
      <w:proofErr w:type="gramStart"/>
      <w:r>
        <w:rPr>
          <w:rFonts w:ascii="微软雅黑" w:eastAsia="微软雅黑" w:hAnsi="微软雅黑" w:hint="eastAsia"/>
          <w:szCs w:val="21"/>
        </w:rPr>
        <w:t>汰拓并</w:t>
      </w:r>
      <w:proofErr w:type="gramEnd"/>
      <w:r>
        <w:rPr>
          <w:rFonts w:ascii="微软雅黑" w:eastAsia="微软雅黑" w:hAnsi="微软雅黑" w:hint="eastAsia"/>
          <w:szCs w:val="21"/>
        </w:rPr>
        <w:t>拓展更多维度测试；</w:t>
      </w:r>
    </w:p>
    <w:p w14:paraId="322BDA34"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加大优质人群竞价幅度，挖掘最大量</w:t>
      </w:r>
      <w:proofErr w:type="gramStart"/>
      <w:r>
        <w:rPr>
          <w:rFonts w:ascii="微软雅黑" w:eastAsia="微软雅黑" w:hAnsi="微软雅黑" w:hint="eastAsia"/>
          <w:szCs w:val="21"/>
        </w:rPr>
        <w:t>级空间</w:t>
      </w:r>
      <w:proofErr w:type="gramEnd"/>
      <w:r>
        <w:rPr>
          <w:rFonts w:ascii="微软雅黑" w:eastAsia="微软雅黑" w:hAnsi="微软雅黑" w:hint="eastAsia"/>
          <w:szCs w:val="21"/>
        </w:rPr>
        <w:t>;通过人群测试，推荐位消耗提升3</w:t>
      </w:r>
      <w:r>
        <w:rPr>
          <w:rFonts w:ascii="微软雅黑" w:eastAsia="微软雅黑" w:hAnsi="微软雅黑"/>
          <w:szCs w:val="21"/>
        </w:rPr>
        <w:t>0%</w:t>
      </w:r>
      <w:r>
        <w:rPr>
          <w:rFonts w:ascii="微软雅黑" w:eastAsia="微软雅黑" w:hAnsi="微软雅黑" w:hint="eastAsia"/>
          <w:szCs w:val="21"/>
        </w:rPr>
        <w:t>，激活量提升</w:t>
      </w:r>
      <w:r>
        <w:rPr>
          <w:rFonts w:ascii="微软雅黑" w:eastAsia="微软雅黑" w:hAnsi="微软雅黑"/>
          <w:szCs w:val="21"/>
        </w:rPr>
        <w:t>25%</w:t>
      </w:r>
      <w:r>
        <w:rPr>
          <w:rFonts w:ascii="微软雅黑" w:eastAsia="微软雅黑" w:hAnsi="微软雅黑" w:hint="eastAsia"/>
          <w:szCs w:val="21"/>
        </w:rPr>
        <w:t>。</w:t>
      </w:r>
    </w:p>
    <w:tbl>
      <w:tblPr>
        <w:tblW w:w="9620" w:type="dxa"/>
        <w:tblLook w:val="04A0" w:firstRow="1" w:lastRow="0" w:firstColumn="1" w:lastColumn="0" w:noHBand="0" w:noVBand="1"/>
      </w:tblPr>
      <w:tblGrid>
        <w:gridCol w:w="2900"/>
        <w:gridCol w:w="2240"/>
        <w:gridCol w:w="2240"/>
        <w:gridCol w:w="2240"/>
      </w:tblGrid>
      <w:tr w:rsidR="004721B7" w14:paraId="7B071A30" w14:textId="77777777">
        <w:trPr>
          <w:trHeight w:val="399"/>
        </w:trPr>
        <w:tc>
          <w:tcPr>
            <w:tcW w:w="2900" w:type="dxa"/>
            <w:tcBorders>
              <w:top w:val="single" w:sz="8" w:space="0" w:color="FFFFFF"/>
              <w:left w:val="single" w:sz="8" w:space="0" w:color="FFFFFF"/>
              <w:bottom w:val="single" w:sz="12" w:space="0" w:color="FFFFFF"/>
              <w:right w:val="single" w:sz="8" w:space="0" w:color="FFFFFF"/>
            </w:tcBorders>
            <w:shd w:val="clear" w:color="000000" w:fill="C21E3A"/>
            <w:vAlign w:val="center"/>
          </w:tcPr>
          <w:p w14:paraId="575EBFF3" w14:textId="77777777" w:rsidR="004721B7" w:rsidRDefault="00000000">
            <w:pPr>
              <w:jc w:val="center"/>
              <w:rPr>
                <w:rFonts w:ascii="微软雅黑" w:eastAsia="微软雅黑" w:hAnsi="微软雅黑"/>
                <w:b/>
                <w:bCs/>
                <w:color w:val="FFFFFF"/>
                <w:sz w:val="21"/>
                <w:szCs w:val="21"/>
              </w:rPr>
            </w:pPr>
            <w:r>
              <w:rPr>
                <w:rFonts w:ascii="微软雅黑" w:eastAsia="微软雅黑" w:hAnsi="微软雅黑" w:hint="eastAsia"/>
                <w:b/>
                <w:bCs/>
                <w:color w:val="FFFFFF"/>
                <w:sz w:val="21"/>
                <w:szCs w:val="21"/>
              </w:rPr>
              <w:t>标签</w:t>
            </w:r>
          </w:p>
        </w:tc>
        <w:tc>
          <w:tcPr>
            <w:tcW w:w="2240" w:type="dxa"/>
            <w:tcBorders>
              <w:top w:val="single" w:sz="8" w:space="0" w:color="FFFFFF"/>
              <w:left w:val="nil"/>
              <w:bottom w:val="single" w:sz="12" w:space="0" w:color="FFFFFF"/>
              <w:right w:val="single" w:sz="8" w:space="0" w:color="FFFFFF"/>
            </w:tcBorders>
            <w:shd w:val="clear" w:color="000000" w:fill="C21E3A"/>
            <w:vAlign w:val="center"/>
          </w:tcPr>
          <w:p w14:paraId="68F6BCEB" w14:textId="77777777" w:rsidR="004721B7" w:rsidRDefault="00000000">
            <w:pPr>
              <w:jc w:val="center"/>
              <w:rPr>
                <w:rFonts w:ascii="微软雅黑" w:eastAsia="微软雅黑" w:hAnsi="微软雅黑"/>
                <w:b/>
                <w:bCs/>
                <w:color w:val="FFFFFF"/>
                <w:sz w:val="21"/>
                <w:szCs w:val="21"/>
              </w:rPr>
            </w:pPr>
            <w:r>
              <w:rPr>
                <w:rFonts w:ascii="微软雅黑" w:eastAsia="微软雅黑" w:hAnsi="微软雅黑" w:hint="eastAsia"/>
                <w:b/>
                <w:bCs/>
                <w:color w:val="FFFFFF"/>
                <w:sz w:val="21"/>
                <w:szCs w:val="21"/>
              </w:rPr>
              <w:t>消耗占比</w:t>
            </w:r>
          </w:p>
        </w:tc>
        <w:tc>
          <w:tcPr>
            <w:tcW w:w="2240" w:type="dxa"/>
            <w:tcBorders>
              <w:top w:val="single" w:sz="8" w:space="0" w:color="FFFFFF"/>
              <w:left w:val="nil"/>
              <w:bottom w:val="single" w:sz="12" w:space="0" w:color="FFFFFF"/>
              <w:right w:val="single" w:sz="8" w:space="0" w:color="FFFFFF"/>
            </w:tcBorders>
            <w:shd w:val="clear" w:color="000000" w:fill="C21E3A"/>
            <w:vAlign w:val="center"/>
          </w:tcPr>
          <w:p w14:paraId="5CBA75EF" w14:textId="77777777" w:rsidR="004721B7" w:rsidRDefault="00000000">
            <w:pPr>
              <w:jc w:val="center"/>
              <w:rPr>
                <w:rFonts w:ascii="微软雅黑" w:eastAsia="微软雅黑" w:hAnsi="微软雅黑"/>
                <w:b/>
                <w:bCs/>
                <w:color w:val="FFFFFF"/>
                <w:sz w:val="21"/>
                <w:szCs w:val="21"/>
              </w:rPr>
            </w:pPr>
            <w:r>
              <w:rPr>
                <w:rFonts w:ascii="微软雅黑" w:eastAsia="微软雅黑" w:hAnsi="微软雅黑" w:hint="eastAsia"/>
                <w:b/>
                <w:bCs/>
                <w:color w:val="FFFFFF"/>
                <w:sz w:val="21"/>
                <w:szCs w:val="21"/>
              </w:rPr>
              <w:t>激活成本</w:t>
            </w:r>
          </w:p>
        </w:tc>
        <w:tc>
          <w:tcPr>
            <w:tcW w:w="2240" w:type="dxa"/>
            <w:tcBorders>
              <w:top w:val="single" w:sz="8" w:space="0" w:color="FFFFFF"/>
              <w:left w:val="nil"/>
              <w:bottom w:val="single" w:sz="12" w:space="0" w:color="FFFFFF"/>
              <w:right w:val="single" w:sz="8" w:space="0" w:color="FFFFFF"/>
            </w:tcBorders>
            <w:shd w:val="clear" w:color="000000" w:fill="C21E3A"/>
            <w:vAlign w:val="center"/>
          </w:tcPr>
          <w:p w14:paraId="784B479C" w14:textId="77777777" w:rsidR="004721B7" w:rsidRDefault="00000000">
            <w:pPr>
              <w:jc w:val="center"/>
              <w:rPr>
                <w:rFonts w:ascii="微软雅黑" w:eastAsia="微软雅黑" w:hAnsi="微软雅黑"/>
                <w:b/>
                <w:bCs/>
                <w:color w:val="FFFFFF"/>
                <w:sz w:val="21"/>
                <w:szCs w:val="21"/>
              </w:rPr>
            </w:pPr>
            <w:r>
              <w:rPr>
                <w:rFonts w:ascii="微软雅黑" w:eastAsia="微软雅黑" w:hAnsi="微软雅黑" w:hint="eastAsia"/>
                <w:b/>
                <w:bCs/>
                <w:color w:val="FFFFFF"/>
                <w:sz w:val="21"/>
                <w:szCs w:val="21"/>
              </w:rPr>
              <w:t>留存率</w:t>
            </w:r>
          </w:p>
        </w:tc>
      </w:tr>
      <w:tr w:rsidR="004721B7" w14:paraId="051F8D09" w14:textId="77777777">
        <w:trPr>
          <w:trHeight w:val="561"/>
        </w:trPr>
        <w:tc>
          <w:tcPr>
            <w:tcW w:w="2900" w:type="dxa"/>
            <w:tcBorders>
              <w:top w:val="nil"/>
              <w:left w:val="single" w:sz="8" w:space="0" w:color="FFFFFF"/>
              <w:bottom w:val="single" w:sz="8" w:space="0" w:color="FFFFFF"/>
              <w:right w:val="single" w:sz="8" w:space="0" w:color="FFFFFF"/>
            </w:tcBorders>
            <w:shd w:val="clear" w:color="000000" w:fill="E9CCCE"/>
            <w:vAlign w:val="center"/>
          </w:tcPr>
          <w:p w14:paraId="5A84A0A4" w14:textId="77777777" w:rsidR="004721B7" w:rsidRDefault="00000000">
            <w:pPr>
              <w:jc w:val="center"/>
              <w:rPr>
                <w:rFonts w:ascii="微软雅黑" w:eastAsia="微软雅黑" w:hAnsi="微软雅黑"/>
                <w:b/>
                <w:bCs/>
                <w:color w:val="000000"/>
                <w:sz w:val="21"/>
                <w:szCs w:val="21"/>
              </w:rPr>
            </w:pPr>
            <w:r>
              <w:rPr>
                <w:rFonts w:ascii="微软雅黑" w:eastAsia="微软雅黑" w:hAnsi="微软雅黑" w:hint="eastAsia"/>
                <w:b/>
                <w:bCs/>
                <w:color w:val="000000"/>
                <w:sz w:val="21"/>
                <w:szCs w:val="21"/>
              </w:rPr>
              <w:t xml:space="preserve"> </w:t>
            </w:r>
            <w:proofErr w:type="gramStart"/>
            <w:r>
              <w:rPr>
                <w:rFonts w:ascii="微软雅黑" w:eastAsia="微软雅黑" w:hAnsi="微软雅黑" w:hint="eastAsia"/>
                <w:b/>
                <w:bCs/>
                <w:color w:val="000000"/>
                <w:sz w:val="21"/>
                <w:szCs w:val="21"/>
              </w:rPr>
              <w:t>竞品已</w:t>
            </w:r>
            <w:proofErr w:type="gramEnd"/>
            <w:r>
              <w:rPr>
                <w:rFonts w:ascii="微软雅黑" w:eastAsia="微软雅黑" w:hAnsi="微软雅黑" w:hint="eastAsia"/>
                <w:b/>
                <w:bCs/>
                <w:color w:val="000000"/>
                <w:sz w:val="21"/>
                <w:szCs w:val="21"/>
              </w:rPr>
              <w:t>安装-</w:t>
            </w:r>
            <w:proofErr w:type="gramStart"/>
            <w:r>
              <w:rPr>
                <w:rFonts w:ascii="微软雅黑" w:eastAsia="微软雅黑" w:hAnsi="微软雅黑" w:hint="eastAsia"/>
                <w:b/>
                <w:bCs/>
                <w:color w:val="000000"/>
                <w:sz w:val="21"/>
                <w:szCs w:val="21"/>
              </w:rPr>
              <w:t>排历史</w:t>
            </w:r>
            <w:proofErr w:type="gramEnd"/>
            <w:r>
              <w:rPr>
                <w:rFonts w:ascii="微软雅黑" w:eastAsia="微软雅黑" w:hAnsi="微软雅黑" w:hint="eastAsia"/>
                <w:b/>
                <w:bCs/>
                <w:color w:val="000000"/>
                <w:sz w:val="21"/>
                <w:szCs w:val="21"/>
              </w:rPr>
              <w:t>安装</w:t>
            </w:r>
          </w:p>
        </w:tc>
        <w:tc>
          <w:tcPr>
            <w:tcW w:w="2240" w:type="dxa"/>
            <w:tcBorders>
              <w:top w:val="nil"/>
              <w:left w:val="nil"/>
              <w:bottom w:val="single" w:sz="8" w:space="0" w:color="FFFFFF"/>
              <w:right w:val="single" w:sz="8" w:space="0" w:color="FFFFFF"/>
            </w:tcBorders>
            <w:shd w:val="clear" w:color="000000" w:fill="E9CCCE"/>
            <w:vAlign w:val="center"/>
          </w:tcPr>
          <w:p w14:paraId="2D13A180" w14:textId="77777777" w:rsidR="004721B7" w:rsidRDefault="00000000">
            <w:pPr>
              <w:jc w:val="center"/>
              <w:rPr>
                <w:rFonts w:ascii="微软雅黑" w:eastAsia="微软雅黑" w:hAnsi="微软雅黑"/>
                <w:b/>
                <w:bCs/>
                <w:color w:val="000000"/>
                <w:sz w:val="21"/>
                <w:szCs w:val="21"/>
              </w:rPr>
            </w:pPr>
            <w:r>
              <w:rPr>
                <w:rFonts w:ascii="微软雅黑" w:eastAsia="微软雅黑" w:hAnsi="微软雅黑" w:hint="eastAsia"/>
                <w:b/>
                <w:bCs/>
                <w:color w:val="000000"/>
                <w:sz w:val="21"/>
                <w:szCs w:val="21"/>
              </w:rPr>
              <w:t>43%</w:t>
            </w:r>
          </w:p>
        </w:tc>
        <w:tc>
          <w:tcPr>
            <w:tcW w:w="2240" w:type="dxa"/>
            <w:tcBorders>
              <w:top w:val="nil"/>
              <w:left w:val="nil"/>
              <w:bottom w:val="single" w:sz="8" w:space="0" w:color="FFFFFF"/>
              <w:right w:val="single" w:sz="8" w:space="0" w:color="FFFFFF"/>
            </w:tcBorders>
            <w:shd w:val="clear" w:color="000000" w:fill="E9CCCE"/>
            <w:vAlign w:val="center"/>
          </w:tcPr>
          <w:p w14:paraId="652770E2" w14:textId="77777777" w:rsidR="004721B7" w:rsidRDefault="00000000">
            <w:pPr>
              <w:jc w:val="center"/>
              <w:rPr>
                <w:rFonts w:ascii="微软雅黑" w:eastAsia="微软雅黑" w:hAnsi="微软雅黑"/>
                <w:b/>
                <w:bCs/>
                <w:color w:val="000000"/>
                <w:sz w:val="21"/>
                <w:szCs w:val="21"/>
              </w:rPr>
            </w:pPr>
            <w:r>
              <w:rPr>
                <w:rFonts w:ascii="微软雅黑" w:eastAsia="微软雅黑" w:hAnsi="微软雅黑" w:hint="eastAsia"/>
                <w:b/>
                <w:bCs/>
                <w:color w:val="000000"/>
                <w:sz w:val="21"/>
                <w:szCs w:val="21"/>
              </w:rPr>
              <w:t>最低</w:t>
            </w:r>
          </w:p>
        </w:tc>
        <w:tc>
          <w:tcPr>
            <w:tcW w:w="2240" w:type="dxa"/>
            <w:tcBorders>
              <w:top w:val="nil"/>
              <w:left w:val="nil"/>
              <w:bottom w:val="single" w:sz="8" w:space="0" w:color="FFFFFF"/>
              <w:right w:val="single" w:sz="8" w:space="0" w:color="FFFFFF"/>
            </w:tcBorders>
            <w:shd w:val="clear" w:color="000000" w:fill="E9CCCE"/>
            <w:vAlign w:val="center"/>
          </w:tcPr>
          <w:p w14:paraId="35226F96" w14:textId="77777777" w:rsidR="004721B7" w:rsidRDefault="00000000">
            <w:pPr>
              <w:jc w:val="center"/>
              <w:rPr>
                <w:rFonts w:ascii="微软雅黑" w:eastAsia="微软雅黑" w:hAnsi="微软雅黑"/>
                <w:b/>
                <w:bCs/>
                <w:color w:val="000000"/>
                <w:sz w:val="21"/>
                <w:szCs w:val="21"/>
              </w:rPr>
            </w:pPr>
            <w:r>
              <w:rPr>
                <w:rFonts w:ascii="微软雅黑" w:eastAsia="微软雅黑" w:hAnsi="微软雅黑" w:hint="eastAsia"/>
                <w:b/>
                <w:bCs/>
                <w:color w:val="000000"/>
                <w:sz w:val="21"/>
                <w:szCs w:val="21"/>
              </w:rPr>
              <w:t>最高</w:t>
            </w:r>
          </w:p>
        </w:tc>
      </w:tr>
      <w:tr w:rsidR="004721B7" w14:paraId="671C8E89" w14:textId="77777777">
        <w:trPr>
          <w:trHeight w:val="561"/>
        </w:trPr>
        <w:tc>
          <w:tcPr>
            <w:tcW w:w="2900" w:type="dxa"/>
            <w:tcBorders>
              <w:top w:val="nil"/>
              <w:left w:val="single" w:sz="8" w:space="0" w:color="FFFFFF"/>
              <w:bottom w:val="single" w:sz="8" w:space="0" w:color="FFFFFF"/>
              <w:right w:val="single" w:sz="8" w:space="0" w:color="FFFFFF"/>
            </w:tcBorders>
            <w:shd w:val="clear" w:color="000000" w:fill="F4E7E8"/>
            <w:vAlign w:val="center"/>
          </w:tcPr>
          <w:p w14:paraId="267246F2" w14:textId="77777777" w:rsidR="004721B7" w:rsidRDefault="00000000">
            <w:pPr>
              <w:jc w:val="center"/>
              <w:rPr>
                <w:rFonts w:ascii="微软雅黑" w:eastAsia="微软雅黑" w:hAnsi="微软雅黑"/>
                <w:b/>
                <w:bCs/>
                <w:color w:val="000000"/>
                <w:sz w:val="21"/>
                <w:szCs w:val="21"/>
              </w:rPr>
            </w:pPr>
            <w:r>
              <w:rPr>
                <w:rFonts w:ascii="微软雅黑" w:eastAsia="微软雅黑" w:hAnsi="微软雅黑" w:hint="eastAsia"/>
                <w:b/>
                <w:bCs/>
                <w:color w:val="000000"/>
                <w:sz w:val="21"/>
                <w:szCs w:val="21"/>
              </w:rPr>
              <w:t>金融股票兴趣-</w:t>
            </w:r>
            <w:proofErr w:type="gramStart"/>
            <w:r>
              <w:rPr>
                <w:rFonts w:ascii="微软雅黑" w:eastAsia="微软雅黑" w:hAnsi="微软雅黑" w:hint="eastAsia"/>
                <w:b/>
                <w:bCs/>
                <w:color w:val="000000"/>
                <w:sz w:val="21"/>
                <w:szCs w:val="21"/>
              </w:rPr>
              <w:t>排历史</w:t>
            </w:r>
            <w:proofErr w:type="gramEnd"/>
            <w:r>
              <w:rPr>
                <w:rFonts w:ascii="微软雅黑" w:eastAsia="微软雅黑" w:hAnsi="微软雅黑" w:hint="eastAsia"/>
                <w:b/>
                <w:bCs/>
                <w:color w:val="000000"/>
                <w:sz w:val="21"/>
                <w:szCs w:val="21"/>
              </w:rPr>
              <w:t>安装</w:t>
            </w:r>
          </w:p>
        </w:tc>
        <w:tc>
          <w:tcPr>
            <w:tcW w:w="2240" w:type="dxa"/>
            <w:tcBorders>
              <w:top w:val="nil"/>
              <w:left w:val="nil"/>
              <w:bottom w:val="single" w:sz="8" w:space="0" w:color="FFFFFF"/>
              <w:right w:val="single" w:sz="8" w:space="0" w:color="FFFFFF"/>
            </w:tcBorders>
            <w:shd w:val="clear" w:color="000000" w:fill="F4E7E8"/>
            <w:vAlign w:val="center"/>
          </w:tcPr>
          <w:p w14:paraId="09187FFE" w14:textId="77777777" w:rsidR="004721B7" w:rsidRDefault="00000000">
            <w:pPr>
              <w:jc w:val="center"/>
              <w:rPr>
                <w:rFonts w:ascii="微软雅黑" w:eastAsia="微软雅黑" w:hAnsi="微软雅黑"/>
                <w:b/>
                <w:bCs/>
                <w:color w:val="000000"/>
                <w:sz w:val="21"/>
                <w:szCs w:val="21"/>
              </w:rPr>
            </w:pPr>
            <w:r>
              <w:rPr>
                <w:rFonts w:ascii="微软雅黑" w:eastAsia="微软雅黑" w:hAnsi="微软雅黑" w:hint="eastAsia"/>
                <w:b/>
                <w:bCs/>
                <w:color w:val="000000"/>
                <w:sz w:val="21"/>
                <w:szCs w:val="21"/>
              </w:rPr>
              <w:t>31%</w:t>
            </w:r>
          </w:p>
        </w:tc>
        <w:tc>
          <w:tcPr>
            <w:tcW w:w="2240" w:type="dxa"/>
            <w:tcBorders>
              <w:top w:val="nil"/>
              <w:left w:val="nil"/>
              <w:bottom w:val="single" w:sz="8" w:space="0" w:color="FFFFFF"/>
              <w:right w:val="single" w:sz="8" w:space="0" w:color="FFFFFF"/>
            </w:tcBorders>
            <w:shd w:val="clear" w:color="000000" w:fill="F4E7E8"/>
            <w:vAlign w:val="center"/>
          </w:tcPr>
          <w:p w14:paraId="0BF2F118" w14:textId="77777777" w:rsidR="004721B7" w:rsidRDefault="00000000">
            <w:pPr>
              <w:jc w:val="center"/>
              <w:rPr>
                <w:rFonts w:ascii="微软雅黑" w:eastAsia="微软雅黑" w:hAnsi="微软雅黑"/>
                <w:b/>
                <w:bCs/>
                <w:color w:val="000000"/>
                <w:sz w:val="21"/>
                <w:szCs w:val="21"/>
              </w:rPr>
            </w:pPr>
            <w:r>
              <w:rPr>
                <w:rFonts w:ascii="微软雅黑" w:eastAsia="微软雅黑" w:hAnsi="微软雅黑" w:hint="eastAsia"/>
                <w:b/>
                <w:bCs/>
                <w:color w:val="000000"/>
                <w:sz w:val="21"/>
                <w:szCs w:val="21"/>
              </w:rPr>
              <w:t>考核达标</w:t>
            </w:r>
          </w:p>
        </w:tc>
        <w:tc>
          <w:tcPr>
            <w:tcW w:w="2240" w:type="dxa"/>
            <w:tcBorders>
              <w:top w:val="nil"/>
              <w:left w:val="nil"/>
              <w:bottom w:val="single" w:sz="8" w:space="0" w:color="FFFFFF"/>
              <w:right w:val="single" w:sz="8" w:space="0" w:color="FFFFFF"/>
            </w:tcBorders>
            <w:shd w:val="clear" w:color="000000" w:fill="F4E7E8"/>
            <w:vAlign w:val="center"/>
          </w:tcPr>
          <w:p w14:paraId="0217D394" w14:textId="77777777" w:rsidR="004721B7" w:rsidRDefault="00000000">
            <w:pPr>
              <w:jc w:val="center"/>
              <w:rPr>
                <w:rFonts w:ascii="微软雅黑" w:eastAsia="微软雅黑" w:hAnsi="微软雅黑"/>
                <w:b/>
                <w:bCs/>
                <w:color w:val="000000"/>
                <w:sz w:val="21"/>
                <w:szCs w:val="21"/>
              </w:rPr>
            </w:pPr>
            <w:r>
              <w:rPr>
                <w:rFonts w:ascii="微软雅黑" w:eastAsia="微软雅黑" w:hAnsi="微软雅黑" w:hint="eastAsia"/>
                <w:b/>
                <w:bCs/>
                <w:color w:val="000000"/>
                <w:sz w:val="21"/>
                <w:szCs w:val="21"/>
              </w:rPr>
              <w:t>中等</w:t>
            </w:r>
          </w:p>
        </w:tc>
      </w:tr>
      <w:tr w:rsidR="004721B7" w14:paraId="5509C0F1" w14:textId="77777777">
        <w:trPr>
          <w:trHeight w:val="561"/>
        </w:trPr>
        <w:tc>
          <w:tcPr>
            <w:tcW w:w="2900" w:type="dxa"/>
            <w:tcBorders>
              <w:top w:val="nil"/>
              <w:left w:val="single" w:sz="8" w:space="0" w:color="FFFFFF"/>
              <w:bottom w:val="single" w:sz="8" w:space="0" w:color="FFFFFF"/>
              <w:right w:val="single" w:sz="8" w:space="0" w:color="FFFFFF"/>
            </w:tcBorders>
            <w:shd w:val="clear" w:color="000000" w:fill="E9CCCE"/>
            <w:vAlign w:val="center"/>
          </w:tcPr>
          <w:p w14:paraId="4D94F955" w14:textId="77777777" w:rsidR="004721B7" w:rsidRDefault="00000000">
            <w:pPr>
              <w:jc w:val="center"/>
              <w:rPr>
                <w:rFonts w:ascii="微软雅黑" w:eastAsia="微软雅黑" w:hAnsi="微软雅黑"/>
                <w:color w:val="000000"/>
                <w:sz w:val="21"/>
                <w:szCs w:val="21"/>
              </w:rPr>
            </w:pPr>
            <w:r>
              <w:rPr>
                <w:rFonts w:ascii="微软雅黑" w:eastAsia="微软雅黑" w:hAnsi="微软雅黑" w:hint="eastAsia"/>
                <w:color w:val="000000"/>
                <w:sz w:val="21"/>
                <w:szCs w:val="21"/>
              </w:rPr>
              <w:t>4线以上城市-</w:t>
            </w:r>
            <w:proofErr w:type="gramStart"/>
            <w:r>
              <w:rPr>
                <w:rFonts w:ascii="微软雅黑" w:eastAsia="微软雅黑" w:hAnsi="微软雅黑" w:hint="eastAsia"/>
                <w:color w:val="000000"/>
                <w:sz w:val="21"/>
                <w:szCs w:val="21"/>
              </w:rPr>
              <w:t>排历史</w:t>
            </w:r>
            <w:proofErr w:type="gramEnd"/>
            <w:r>
              <w:rPr>
                <w:rFonts w:ascii="微软雅黑" w:eastAsia="微软雅黑" w:hAnsi="微软雅黑" w:hint="eastAsia"/>
                <w:color w:val="000000"/>
                <w:sz w:val="21"/>
                <w:szCs w:val="21"/>
              </w:rPr>
              <w:t>安装</w:t>
            </w:r>
          </w:p>
        </w:tc>
        <w:tc>
          <w:tcPr>
            <w:tcW w:w="2240" w:type="dxa"/>
            <w:tcBorders>
              <w:top w:val="nil"/>
              <w:left w:val="nil"/>
              <w:bottom w:val="single" w:sz="8" w:space="0" w:color="FFFFFF"/>
              <w:right w:val="single" w:sz="8" w:space="0" w:color="FFFFFF"/>
            </w:tcBorders>
            <w:shd w:val="clear" w:color="000000" w:fill="E9CCCE"/>
            <w:vAlign w:val="center"/>
          </w:tcPr>
          <w:p w14:paraId="672E215F" w14:textId="77777777" w:rsidR="004721B7" w:rsidRDefault="00000000">
            <w:pPr>
              <w:jc w:val="center"/>
              <w:rPr>
                <w:rFonts w:ascii="微软雅黑" w:eastAsia="微软雅黑" w:hAnsi="微软雅黑"/>
                <w:color w:val="000000"/>
                <w:sz w:val="21"/>
                <w:szCs w:val="21"/>
              </w:rPr>
            </w:pPr>
            <w:r>
              <w:rPr>
                <w:rFonts w:ascii="微软雅黑" w:eastAsia="微软雅黑" w:hAnsi="微软雅黑" w:hint="eastAsia"/>
                <w:color w:val="000000"/>
                <w:sz w:val="21"/>
                <w:szCs w:val="21"/>
              </w:rPr>
              <w:t>16%</w:t>
            </w:r>
          </w:p>
        </w:tc>
        <w:tc>
          <w:tcPr>
            <w:tcW w:w="2240" w:type="dxa"/>
            <w:tcBorders>
              <w:top w:val="nil"/>
              <w:left w:val="nil"/>
              <w:bottom w:val="single" w:sz="8" w:space="0" w:color="FFFFFF"/>
              <w:right w:val="single" w:sz="8" w:space="0" w:color="FFFFFF"/>
            </w:tcBorders>
            <w:shd w:val="clear" w:color="000000" w:fill="E9CCCE"/>
            <w:vAlign w:val="center"/>
          </w:tcPr>
          <w:p w14:paraId="6FC31E23" w14:textId="77777777" w:rsidR="004721B7" w:rsidRDefault="00000000">
            <w:pPr>
              <w:jc w:val="center"/>
              <w:rPr>
                <w:rFonts w:ascii="微软雅黑" w:eastAsia="微软雅黑" w:hAnsi="微软雅黑"/>
                <w:color w:val="000000"/>
                <w:sz w:val="21"/>
                <w:szCs w:val="21"/>
              </w:rPr>
            </w:pPr>
            <w:r>
              <w:rPr>
                <w:rFonts w:ascii="微软雅黑" w:eastAsia="微软雅黑" w:hAnsi="微软雅黑" w:hint="eastAsia"/>
                <w:color w:val="000000"/>
                <w:sz w:val="21"/>
                <w:szCs w:val="21"/>
              </w:rPr>
              <w:t>超出考核</w:t>
            </w:r>
          </w:p>
        </w:tc>
        <w:tc>
          <w:tcPr>
            <w:tcW w:w="2240" w:type="dxa"/>
            <w:tcBorders>
              <w:top w:val="nil"/>
              <w:left w:val="nil"/>
              <w:bottom w:val="single" w:sz="8" w:space="0" w:color="FFFFFF"/>
              <w:right w:val="single" w:sz="8" w:space="0" w:color="FFFFFF"/>
            </w:tcBorders>
            <w:shd w:val="clear" w:color="000000" w:fill="E9CCCE"/>
            <w:vAlign w:val="center"/>
          </w:tcPr>
          <w:p w14:paraId="2B6822BF" w14:textId="77777777" w:rsidR="004721B7" w:rsidRDefault="00000000">
            <w:pPr>
              <w:jc w:val="center"/>
              <w:rPr>
                <w:rFonts w:ascii="微软雅黑" w:eastAsia="微软雅黑" w:hAnsi="微软雅黑"/>
                <w:color w:val="000000"/>
                <w:sz w:val="21"/>
                <w:szCs w:val="21"/>
              </w:rPr>
            </w:pPr>
            <w:r>
              <w:rPr>
                <w:rFonts w:ascii="微软雅黑" w:eastAsia="微软雅黑" w:hAnsi="微软雅黑" w:hint="eastAsia"/>
                <w:color w:val="000000"/>
                <w:sz w:val="21"/>
                <w:szCs w:val="21"/>
              </w:rPr>
              <w:t>超出考核</w:t>
            </w:r>
          </w:p>
        </w:tc>
      </w:tr>
      <w:tr w:rsidR="004721B7" w14:paraId="06D09E4B" w14:textId="77777777">
        <w:trPr>
          <w:trHeight w:val="561"/>
        </w:trPr>
        <w:tc>
          <w:tcPr>
            <w:tcW w:w="2900" w:type="dxa"/>
            <w:tcBorders>
              <w:top w:val="nil"/>
              <w:left w:val="single" w:sz="8" w:space="0" w:color="FFFFFF"/>
              <w:bottom w:val="single" w:sz="8" w:space="0" w:color="FFFFFF"/>
              <w:right w:val="single" w:sz="8" w:space="0" w:color="FFFFFF"/>
            </w:tcBorders>
            <w:shd w:val="clear" w:color="000000" w:fill="F4E7E8"/>
            <w:vAlign w:val="center"/>
          </w:tcPr>
          <w:p w14:paraId="723BC94C" w14:textId="77777777" w:rsidR="004721B7" w:rsidRDefault="00000000">
            <w:pPr>
              <w:jc w:val="center"/>
              <w:rPr>
                <w:rFonts w:ascii="微软雅黑" w:eastAsia="微软雅黑" w:hAnsi="微软雅黑"/>
                <w:color w:val="000000"/>
                <w:sz w:val="21"/>
                <w:szCs w:val="21"/>
              </w:rPr>
            </w:pPr>
            <w:r>
              <w:rPr>
                <w:rFonts w:ascii="微软雅黑" w:eastAsia="微软雅黑" w:hAnsi="微软雅黑" w:hint="eastAsia"/>
                <w:color w:val="000000"/>
                <w:sz w:val="21"/>
                <w:szCs w:val="21"/>
              </w:rPr>
              <w:t>25-45岁男性-</w:t>
            </w:r>
            <w:proofErr w:type="gramStart"/>
            <w:r>
              <w:rPr>
                <w:rFonts w:ascii="微软雅黑" w:eastAsia="微软雅黑" w:hAnsi="微软雅黑" w:hint="eastAsia"/>
                <w:color w:val="000000"/>
                <w:sz w:val="21"/>
                <w:szCs w:val="21"/>
              </w:rPr>
              <w:t>排历史</w:t>
            </w:r>
            <w:proofErr w:type="gramEnd"/>
            <w:r>
              <w:rPr>
                <w:rFonts w:ascii="微软雅黑" w:eastAsia="微软雅黑" w:hAnsi="微软雅黑" w:hint="eastAsia"/>
                <w:color w:val="000000"/>
                <w:sz w:val="21"/>
                <w:szCs w:val="21"/>
              </w:rPr>
              <w:t>安装</w:t>
            </w:r>
          </w:p>
        </w:tc>
        <w:tc>
          <w:tcPr>
            <w:tcW w:w="2240" w:type="dxa"/>
            <w:tcBorders>
              <w:top w:val="nil"/>
              <w:left w:val="nil"/>
              <w:bottom w:val="single" w:sz="8" w:space="0" w:color="FFFFFF"/>
              <w:right w:val="single" w:sz="8" w:space="0" w:color="FFFFFF"/>
            </w:tcBorders>
            <w:shd w:val="clear" w:color="000000" w:fill="F4E7E8"/>
            <w:vAlign w:val="center"/>
          </w:tcPr>
          <w:p w14:paraId="7AA64A16" w14:textId="77777777" w:rsidR="004721B7" w:rsidRDefault="00000000">
            <w:pPr>
              <w:jc w:val="center"/>
              <w:rPr>
                <w:rFonts w:ascii="微软雅黑" w:eastAsia="微软雅黑" w:hAnsi="微软雅黑"/>
                <w:color w:val="000000"/>
                <w:sz w:val="21"/>
                <w:szCs w:val="21"/>
              </w:rPr>
            </w:pPr>
            <w:r>
              <w:rPr>
                <w:rFonts w:ascii="微软雅黑" w:eastAsia="微软雅黑" w:hAnsi="微软雅黑" w:hint="eastAsia"/>
                <w:color w:val="000000"/>
                <w:sz w:val="21"/>
                <w:szCs w:val="21"/>
              </w:rPr>
              <w:t>11%</w:t>
            </w:r>
          </w:p>
        </w:tc>
        <w:tc>
          <w:tcPr>
            <w:tcW w:w="2240" w:type="dxa"/>
            <w:tcBorders>
              <w:top w:val="nil"/>
              <w:left w:val="nil"/>
              <w:bottom w:val="single" w:sz="8" w:space="0" w:color="FFFFFF"/>
              <w:right w:val="single" w:sz="8" w:space="0" w:color="FFFFFF"/>
            </w:tcBorders>
            <w:shd w:val="clear" w:color="000000" w:fill="F4E7E8"/>
            <w:vAlign w:val="center"/>
          </w:tcPr>
          <w:p w14:paraId="58753A55" w14:textId="77777777" w:rsidR="004721B7" w:rsidRDefault="00000000">
            <w:pPr>
              <w:jc w:val="center"/>
              <w:rPr>
                <w:rFonts w:ascii="微软雅黑" w:eastAsia="微软雅黑" w:hAnsi="微软雅黑"/>
                <w:color w:val="000000"/>
                <w:sz w:val="21"/>
                <w:szCs w:val="21"/>
              </w:rPr>
            </w:pPr>
            <w:r>
              <w:rPr>
                <w:rFonts w:ascii="微软雅黑" w:eastAsia="微软雅黑" w:hAnsi="微软雅黑" w:hint="eastAsia"/>
                <w:color w:val="000000"/>
                <w:sz w:val="21"/>
                <w:szCs w:val="21"/>
              </w:rPr>
              <w:t>超出考核较高</w:t>
            </w:r>
          </w:p>
        </w:tc>
        <w:tc>
          <w:tcPr>
            <w:tcW w:w="2240" w:type="dxa"/>
            <w:tcBorders>
              <w:top w:val="nil"/>
              <w:left w:val="nil"/>
              <w:bottom w:val="single" w:sz="8" w:space="0" w:color="FFFFFF"/>
              <w:right w:val="single" w:sz="8" w:space="0" w:color="FFFFFF"/>
            </w:tcBorders>
            <w:shd w:val="clear" w:color="000000" w:fill="F4E7E8"/>
            <w:vAlign w:val="center"/>
          </w:tcPr>
          <w:p w14:paraId="244BB0F6" w14:textId="77777777" w:rsidR="004721B7" w:rsidRDefault="00000000">
            <w:pPr>
              <w:jc w:val="center"/>
              <w:rPr>
                <w:rFonts w:ascii="微软雅黑" w:eastAsia="微软雅黑" w:hAnsi="微软雅黑"/>
                <w:color w:val="000000"/>
                <w:sz w:val="21"/>
                <w:szCs w:val="21"/>
              </w:rPr>
            </w:pPr>
            <w:r>
              <w:rPr>
                <w:rFonts w:ascii="微软雅黑" w:eastAsia="微软雅黑" w:hAnsi="微软雅黑" w:hint="eastAsia"/>
                <w:color w:val="000000"/>
                <w:sz w:val="21"/>
                <w:szCs w:val="21"/>
              </w:rPr>
              <w:t>超出考核</w:t>
            </w:r>
          </w:p>
        </w:tc>
      </w:tr>
    </w:tbl>
    <w:p w14:paraId="41E9BD80" w14:textId="77777777" w:rsidR="004721B7" w:rsidRDefault="00000000">
      <w:pPr>
        <w:pStyle w:val="af6"/>
        <w:numPr>
          <w:ilvl w:val="0"/>
          <w:numId w:val="3"/>
        </w:numPr>
        <w:spacing w:before="100" w:beforeAutospacing="1" w:after="100" w:afterAutospacing="1"/>
        <w:ind w:firstLineChars="0"/>
        <w:textAlignment w:val="baseline"/>
        <w:rPr>
          <w:rFonts w:ascii="微软雅黑" w:eastAsia="微软雅黑" w:hAnsi="微软雅黑"/>
          <w:b/>
          <w:bCs/>
          <w:szCs w:val="21"/>
        </w:rPr>
      </w:pPr>
      <w:r>
        <w:rPr>
          <w:rFonts w:ascii="微软雅黑" w:eastAsia="微软雅黑" w:hAnsi="微软雅黑" w:hint="eastAsia"/>
          <w:b/>
          <w:bCs/>
          <w:szCs w:val="21"/>
        </w:rPr>
        <w:t>利用</w:t>
      </w:r>
      <w:proofErr w:type="gramStart"/>
      <w:r>
        <w:rPr>
          <w:rFonts w:ascii="微软雅黑" w:eastAsia="微软雅黑" w:hAnsi="微软雅黑" w:hint="eastAsia"/>
          <w:b/>
          <w:bCs/>
          <w:szCs w:val="21"/>
        </w:rPr>
        <w:t>小米推词工具</w:t>
      </w:r>
      <w:proofErr w:type="gramEnd"/>
      <w:r>
        <w:rPr>
          <w:rFonts w:ascii="微软雅黑" w:eastAsia="微软雅黑" w:hAnsi="微软雅黑" w:hint="eastAsia"/>
          <w:b/>
          <w:bCs/>
          <w:szCs w:val="21"/>
        </w:rPr>
        <w:t>，提升关键词覆盖与转化用户曝光（1</w:t>
      </w:r>
      <w:r>
        <w:rPr>
          <w:rFonts w:ascii="微软雅黑" w:eastAsia="微软雅黑" w:hAnsi="微软雅黑"/>
          <w:b/>
          <w:bCs/>
          <w:szCs w:val="21"/>
        </w:rPr>
        <w:t>2.5-12.16</w:t>
      </w:r>
      <w:r>
        <w:rPr>
          <w:rFonts w:ascii="微软雅黑" w:eastAsia="微软雅黑" w:hAnsi="微软雅黑" w:hint="eastAsia"/>
          <w:b/>
          <w:bCs/>
          <w:szCs w:val="21"/>
        </w:rPr>
        <w:t>）</w:t>
      </w:r>
    </w:p>
    <w:p w14:paraId="3F179F82"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在账户投放基础上，通过</w:t>
      </w:r>
      <w:proofErr w:type="gramStart"/>
      <w:r>
        <w:rPr>
          <w:rFonts w:ascii="微软雅黑" w:eastAsia="微软雅黑" w:hAnsi="微软雅黑" w:hint="eastAsia"/>
          <w:szCs w:val="21"/>
        </w:rPr>
        <w:t>推词工具</w:t>
      </w:r>
      <w:proofErr w:type="gramEnd"/>
      <w:r>
        <w:rPr>
          <w:rFonts w:ascii="微软雅黑" w:eastAsia="微软雅黑" w:hAnsi="微软雅黑" w:hint="eastAsia"/>
          <w:szCs w:val="21"/>
        </w:rPr>
        <w:t>拓展银行词、支</w:t>
      </w:r>
      <w:proofErr w:type="gramStart"/>
      <w:r>
        <w:rPr>
          <w:rFonts w:ascii="微软雅黑" w:eastAsia="微软雅黑" w:hAnsi="微软雅黑" w:hint="eastAsia"/>
          <w:szCs w:val="21"/>
        </w:rPr>
        <w:t>付词</w:t>
      </w:r>
      <w:proofErr w:type="gramEnd"/>
      <w:r>
        <w:rPr>
          <w:rFonts w:ascii="微软雅黑" w:eastAsia="微软雅黑" w:hAnsi="微软雅黑" w:hint="eastAsia"/>
          <w:szCs w:val="21"/>
        </w:rPr>
        <w:t>与事实热点词，同时补充更多证券、股票行业未投放的相关词汇，全面覆盖到目标用户；</w:t>
      </w:r>
    </w:p>
    <w:p w14:paraId="084F0710"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通过</w:t>
      </w:r>
      <w:proofErr w:type="gramStart"/>
      <w:r>
        <w:rPr>
          <w:rFonts w:ascii="微软雅黑" w:eastAsia="微软雅黑" w:hAnsi="微软雅黑" w:hint="eastAsia"/>
          <w:szCs w:val="21"/>
        </w:rPr>
        <w:t>小米推词工具</w:t>
      </w:r>
      <w:proofErr w:type="gramEnd"/>
      <w:r>
        <w:rPr>
          <w:rFonts w:ascii="微软雅黑" w:eastAsia="微软雅黑" w:hAnsi="微软雅黑" w:hint="eastAsia"/>
          <w:szCs w:val="21"/>
        </w:rPr>
        <w:t>，投放关键词新增提升</w:t>
      </w:r>
      <w:r>
        <w:rPr>
          <w:rFonts w:ascii="微软雅黑" w:eastAsia="微软雅黑" w:hAnsi="微软雅黑"/>
          <w:szCs w:val="21"/>
        </w:rPr>
        <w:t>200%</w:t>
      </w:r>
      <w:r>
        <w:rPr>
          <w:rFonts w:ascii="微软雅黑" w:eastAsia="微软雅黑" w:hAnsi="微软雅黑" w:hint="eastAsia"/>
          <w:szCs w:val="21"/>
        </w:rPr>
        <w:t>，下载关键词提升8</w:t>
      </w:r>
      <w:r>
        <w:rPr>
          <w:rFonts w:ascii="微软雅黑" w:eastAsia="微软雅黑" w:hAnsi="微软雅黑"/>
          <w:szCs w:val="21"/>
        </w:rPr>
        <w:t>4%</w:t>
      </w:r>
      <w:r>
        <w:rPr>
          <w:rFonts w:ascii="微软雅黑" w:eastAsia="微软雅黑" w:hAnsi="微软雅黑" w:hint="eastAsia"/>
          <w:szCs w:val="21"/>
        </w:rPr>
        <w:t>；</w:t>
      </w:r>
    </w:p>
    <w:p w14:paraId="5ACE9334" w14:textId="77777777" w:rsidR="004721B7" w:rsidRDefault="00000000">
      <w:pPr>
        <w:spacing w:before="100" w:beforeAutospacing="1" w:after="100" w:afterAutospacing="1"/>
        <w:ind w:left="420"/>
        <w:textAlignment w:val="baseline"/>
        <w:rPr>
          <w:rFonts w:ascii="微软雅黑" w:eastAsia="微软雅黑" w:hAnsi="微软雅黑"/>
          <w:szCs w:val="21"/>
        </w:rPr>
      </w:pPr>
      <w:r>
        <w:rPr>
          <w:noProof/>
        </w:rPr>
        <w:drawing>
          <wp:inline distT="0" distB="0" distL="0" distR="0" wp14:anchorId="1693046A" wp14:editId="211D15E6">
            <wp:extent cx="1871980" cy="199771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1872000" cy="1998000"/>
                    </a:xfrm>
                    <a:prstGeom prst="rect">
                      <a:avLst/>
                    </a:prstGeom>
                  </pic:spPr>
                </pic:pic>
              </a:graphicData>
            </a:graphic>
          </wp:inline>
        </w:drawing>
      </w:r>
      <w:r>
        <w:rPr>
          <w:rFonts w:ascii="微软雅黑" w:eastAsia="微软雅黑" w:hAnsi="微软雅黑"/>
          <w:szCs w:val="21"/>
        </w:rPr>
        <w:t xml:space="preserve">       </w:t>
      </w:r>
      <w:r>
        <w:rPr>
          <w:noProof/>
        </w:rPr>
        <w:drawing>
          <wp:inline distT="0" distB="0" distL="0" distR="0" wp14:anchorId="73DDE5A7" wp14:editId="22C0345A">
            <wp:extent cx="2577465" cy="1918335"/>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tretch>
                      <a:fillRect/>
                    </a:stretch>
                  </pic:blipFill>
                  <pic:spPr>
                    <a:xfrm>
                      <a:off x="0" y="0"/>
                      <a:ext cx="2577600" cy="1918800"/>
                    </a:xfrm>
                    <a:prstGeom prst="rect">
                      <a:avLst/>
                    </a:prstGeom>
                  </pic:spPr>
                </pic:pic>
              </a:graphicData>
            </a:graphic>
          </wp:inline>
        </w:drawing>
      </w:r>
    </w:p>
    <w:p w14:paraId="41F21A0B" w14:textId="77777777" w:rsidR="004721B7" w:rsidRDefault="00000000">
      <w:pPr>
        <w:pStyle w:val="af6"/>
        <w:numPr>
          <w:ilvl w:val="0"/>
          <w:numId w:val="3"/>
        </w:numPr>
        <w:spacing w:before="100" w:beforeAutospacing="1" w:after="100" w:afterAutospacing="1"/>
        <w:ind w:firstLineChars="0"/>
        <w:textAlignment w:val="baseline"/>
        <w:rPr>
          <w:rFonts w:ascii="微软雅黑" w:eastAsia="微软雅黑" w:hAnsi="微软雅黑"/>
          <w:b/>
          <w:bCs/>
          <w:szCs w:val="21"/>
        </w:rPr>
      </w:pPr>
      <w:r>
        <w:rPr>
          <w:rFonts w:ascii="微软雅黑" w:eastAsia="微软雅黑" w:hAnsi="微软雅黑" w:hint="eastAsia"/>
          <w:b/>
          <w:bCs/>
          <w:szCs w:val="21"/>
        </w:rPr>
        <w:t>多场景助力品牌曝光，抢占市场行业先机，吸引目标用户关注（1</w:t>
      </w:r>
      <w:r>
        <w:rPr>
          <w:rFonts w:ascii="微软雅黑" w:eastAsia="微软雅黑" w:hAnsi="微软雅黑"/>
          <w:b/>
          <w:bCs/>
          <w:szCs w:val="21"/>
        </w:rPr>
        <w:t>1.1-12.31</w:t>
      </w:r>
      <w:r>
        <w:rPr>
          <w:rFonts w:ascii="微软雅黑" w:eastAsia="微软雅黑" w:hAnsi="微软雅黑" w:hint="eastAsia"/>
          <w:b/>
          <w:bCs/>
          <w:szCs w:val="21"/>
        </w:rPr>
        <w:t>）</w:t>
      </w:r>
    </w:p>
    <w:p w14:paraId="7FDDDDE7"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在商店增量稳定的基础上，增加非标资源投放，整体品牌预算占2</w:t>
      </w:r>
      <w:r>
        <w:rPr>
          <w:rFonts w:ascii="微软雅黑" w:eastAsia="微软雅黑" w:hAnsi="微软雅黑"/>
          <w:szCs w:val="21"/>
        </w:rPr>
        <w:t>2</w:t>
      </w:r>
      <w:r>
        <w:rPr>
          <w:rFonts w:ascii="微软雅黑" w:eastAsia="微软雅黑" w:hAnsi="微软雅黑" w:hint="eastAsia"/>
          <w:szCs w:val="21"/>
        </w:rPr>
        <w:t>年全年预算1</w:t>
      </w:r>
      <w:r>
        <w:rPr>
          <w:rFonts w:ascii="微软雅黑" w:eastAsia="微软雅黑" w:hAnsi="微软雅黑"/>
          <w:szCs w:val="21"/>
        </w:rPr>
        <w:t>5%</w:t>
      </w:r>
      <w:r>
        <w:rPr>
          <w:rFonts w:ascii="微软雅黑" w:eastAsia="微软雅黑" w:hAnsi="微软雅黑" w:hint="eastAsia"/>
          <w:szCs w:val="21"/>
        </w:rPr>
        <w:t>；</w:t>
      </w:r>
    </w:p>
    <w:p w14:paraId="7D96D2D0"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其中投放位置覆盖商店搜索</w:t>
      </w:r>
      <w:proofErr w:type="spellStart"/>
      <w:r>
        <w:rPr>
          <w:rFonts w:ascii="微软雅黑" w:eastAsia="微软雅黑" w:hAnsi="微软雅黑" w:hint="eastAsia"/>
          <w:szCs w:val="21"/>
        </w:rPr>
        <w:t>sug</w:t>
      </w:r>
      <w:proofErr w:type="spellEnd"/>
      <w:r>
        <w:rPr>
          <w:rFonts w:ascii="微软雅黑" w:eastAsia="微软雅黑" w:hAnsi="微软雅黑" w:hint="eastAsia"/>
          <w:szCs w:val="21"/>
        </w:rPr>
        <w:t>页、搜索结果页、搜索0号位等高转化资源位，以投放“股票、证券、炒股”等行业热搜词，提升业内曝光；同时购买自身“中信、中信证券”等品牌相关</w:t>
      </w:r>
      <w:proofErr w:type="gramStart"/>
      <w:r>
        <w:rPr>
          <w:rFonts w:ascii="微软雅黑" w:eastAsia="微软雅黑" w:hAnsi="微软雅黑" w:hint="eastAsia"/>
          <w:szCs w:val="21"/>
        </w:rPr>
        <w:t>词展示</w:t>
      </w:r>
      <w:proofErr w:type="gramEnd"/>
      <w:r>
        <w:rPr>
          <w:rFonts w:ascii="微软雅黑" w:eastAsia="微软雅黑" w:hAnsi="微软雅黑" w:hint="eastAsia"/>
          <w:szCs w:val="21"/>
        </w:rPr>
        <w:t>搜索一页霸屏，有效</w:t>
      </w:r>
      <w:proofErr w:type="gramStart"/>
      <w:r>
        <w:rPr>
          <w:rFonts w:ascii="微软雅黑" w:eastAsia="微软雅黑" w:hAnsi="微软雅黑" w:hint="eastAsia"/>
          <w:szCs w:val="21"/>
        </w:rPr>
        <w:t>预防竞品抢占</w:t>
      </w:r>
      <w:proofErr w:type="gramEnd"/>
      <w:r>
        <w:rPr>
          <w:rFonts w:ascii="微软雅黑" w:eastAsia="微软雅黑" w:hAnsi="微软雅黑" w:hint="eastAsia"/>
          <w:szCs w:val="21"/>
        </w:rPr>
        <w:t>自身品牌流量；投放后环</w:t>
      </w:r>
      <w:proofErr w:type="gramStart"/>
      <w:r>
        <w:rPr>
          <w:rFonts w:ascii="微软雅黑" w:eastAsia="微软雅黑" w:hAnsi="微软雅黑" w:hint="eastAsia"/>
          <w:szCs w:val="21"/>
        </w:rPr>
        <w:t>比整体</w:t>
      </w:r>
      <w:proofErr w:type="gramEnd"/>
      <w:r>
        <w:rPr>
          <w:rFonts w:ascii="微软雅黑" w:eastAsia="微软雅黑" w:hAnsi="微软雅黑" w:hint="eastAsia"/>
          <w:szCs w:val="21"/>
        </w:rPr>
        <w:t>激活数提升3</w:t>
      </w:r>
      <w:r>
        <w:rPr>
          <w:rFonts w:ascii="微软雅黑" w:eastAsia="微软雅黑" w:hAnsi="微软雅黑"/>
          <w:szCs w:val="21"/>
        </w:rPr>
        <w:t>2%</w:t>
      </w:r>
      <w:r>
        <w:rPr>
          <w:rFonts w:ascii="微软雅黑" w:eastAsia="微软雅黑" w:hAnsi="微软雅黑" w:hint="eastAsia"/>
          <w:szCs w:val="21"/>
        </w:rPr>
        <w:t>，开户数提升1</w:t>
      </w:r>
      <w:r>
        <w:rPr>
          <w:rFonts w:ascii="微软雅黑" w:eastAsia="微软雅黑" w:hAnsi="微软雅黑"/>
          <w:szCs w:val="21"/>
        </w:rPr>
        <w:t>9%</w:t>
      </w:r>
      <w:r>
        <w:rPr>
          <w:rFonts w:ascii="微软雅黑" w:eastAsia="微软雅黑" w:hAnsi="微软雅黑" w:hint="eastAsia"/>
          <w:szCs w:val="21"/>
        </w:rPr>
        <w:t>；</w:t>
      </w:r>
    </w:p>
    <w:p w14:paraId="1E2264FC"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同时参与小米商店首页的“理财专区”</w:t>
      </w:r>
      <w:proofErr w:type="gramStart"/>
      <w:r>
        <w:rPr>
          <w:rFonts w:ascii="微软雅黑" w:eastAsia="微软雅黑" w:hAnsi="微软雅黑" w:hint="eastAsia"/>
          <w:szCs w:val="21"/>
        </w:rPr>
        <w:t>版块</w:t>
      </w:r>
      <w:proofErr w:type="gramEnd"/>
      <w:r>
        <w:rPr>
          <w:rFonts w:ascii="微软雅黑" w:eastAsia="微软雅黑" w:hAnsi="微软雅黑" w:hint="eastAsia"/>
          <w:szCs w:val="21"/>
        </w:rPr>
        <w:t>，促进意向用户点击与下载；投放后整体激活量增长6</w:t>
      </w:r>
      <w:r>
        <w:rPr>
          <w:rFonts w:ascii="微软雅黑" w:eastAsia="微软雅黑" w:hAnsi="微软雅黑"/>
          <w:szCs w:val="21"/>
        </w:rPr>
        <w:t>000+</w:t>
      </w:r>
      <w:r>
        <w:rPr>
          <w:rFonts w:ascii="微软雅黑" w:eastAsia="微软雅黑" w:hAnsi="微软雅黑" w:hint="eastAsia"/>
          <w:szCs w:val="21"/>
        </w:rPr>
        <w:t>；</w:t>
      </w:r>
    </w:p>
    <w:p w14:paraId="2888CEEC"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除商店非标资源覆盖之外，趁势抓住行情高涨时期，上线小米手机桌面负</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屏“股票卡片”，投放预算增长3</w:t>
      </w:r>
      <w:r>
        <w:rPr>
          <w:rFonts w:ascii="微软雅黑" w:eastAsia="微软雅黑" w:hAnsi="微软雅黑"/>
          <w:szCs w:val="21"/>
        </w:rPr>
        <w:t>0</w:t>
      </w:r>
      <w:r>
        <w:rPr>
          <w:rFonts w:ascii="微软雅黑" w:eastAsia="微软雅黑" w:hAnsi="微软雅黑" w:hint="eastAsia"/>
          <w:szCs w:val="21"/>
        </w:rPr>
        <w:t>万，激活量增长8</w:t>
      </w:r>
      <w:r>
        <w:rPr>
          <w:rFonts w:ascii="微软雅黑" w:eastAsia="微软雅黑" w:hAnsi="微软雅黑"/>
          <w:szCs w:val="21"/>
        </w:rPr>
        <w:t>000+;</w:t>
      </w:r>
    </w:p>
    <w:p w14:paraId="2376F021" w14:textId="77777777" w:rsidR="004721B7" w:rsidRDefault="00000000">
      <w:pPr>
        <w:pStyle w:val="af6"/>
        <w:numPr>
          <w:ilvl w:val="1"/>
          <w:numId w:val="3"/>
        </w:numPr>
        <w:spacing w:before="100" w:beforeAutospacing="1" w:after="100" w:afterAutospacing="1"/>
        <w:ind w:firstLineChars="0"/>
        <w:textAlignment w:val="baseline"/>
        <w:rPr>
          <w:rFonts w:ascii="微软雅黑" w:eastAsia="微软雅黑" w:hAnsi="微软雅黑"/>
          <w:szCs w:val="21"/>
        </w:rPr>
      </w:pPr>
      <w:r>
        <w:rPr>
          <w:rFonts w:ascii="微软雅黑" w:eastAsia="微软雅黑" w:hAnsi="微软雅黑" w:hint="eastAsia"/>
          <w:szCs w:val="21"/>
        </w:rPr>
        <w:t>非标资源投放截图展示：</w:t>
      </w:r>
    </w:p>
    <w:p w14:paraId="0E1D37CA" w14:textId="61FA0AC6" w:rsidR="004721B7" w:rsidRPr="00481039" w:rsidRDefault="00000000" w:rsidP="00481039">
      <w:pPr>
        <w:spacing w:before="100" w:beforeAutospacing="1" w:after="100" w:afterAutospacing="1"/>
        <w:ind w:left="420"/>
        <w:textAlignment w:val="baseline"/>
        <w:rPr>
          <w:rFonts w:ascii="微软雅黑" w:eastAsia="微软雅黑" w:hAnsi="微软雅黑"/>
          <w:szCs w:val="21"/>
        </w:rPr>
      </w:pPr>
      <w:r>
        <w:rPr>
          <w:noProof/>
        </w:rPr>
        <w:drawing>
          <wp:inline distT="0" distB="0" distL="0" distR="0" wp14:anchorId="42A51DC3" wp14:editId="53739D1A">
            <wp:extent cx="5720715" cy="2273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720715" cy="2273300"/>
                    </a:xfrm>
                    <a:prstGeom prst="rect">
                      <a:avLst/>
                    </a:prstGeom>
                  </pic:spPr>
                </pic:pic>
              </a:graphicData>
            </a:graphic>
          </wp:inline>
        </w:drawing>
      </w:r>
    </w:p>
    <w:p w14:paraId="11F1E8B3" w14:textId="77777777" w:rsidR="004721B7"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营销效果与市场反馈</w:t>
      </w:r>
    </w:p>
    <w:p w14:paraId="0878C3DE" w14:textId="77777777" w:rsidR="004721B7" w:rsidRDefault="00000000">
      <w:pPr>
        <w:spacing w:before="100" w:beforeAutospacing="1" w:after="100" w:afterAutospacing="1"/>
        <w:rPr>
          <w:rFonts w:ascii="微软雅黑" w:eastAsia="微软雅黑" w:hAnsi="微软雅黑"/>
          <w:b/>
          <w:bCs/>
          <w:color w:val="0000FF"/>
          <w:sz w:val="21"/>
          <w:szCs w:val="21"/>
        </w:rPr>
      </w:pPr>
      <w:r>
        <w:rPr>
          <w:rFonts w:ascii="微软雅黑" w:eastAsia="微软雅黑" w:hAnsi="微软雅黑" w:hint="eastAsia"/>
          <w:sz w:val="21"/>
          <w:szCs w:val="21"/>
        </w:rPr>
        <w:t>通过多</w:t>
      </w:r>
      <w:proofErr w:type="gramStart"/>
      <w:r>
        <w:rPr>
          <w:rFonts w:ascii="微软雅黑" w:eastAsia="微软雅黑" w:hAnsi="微软雅黑" w:hint="eastAsia"/>
          <w:sz w:val="21"/>
          <w:szCs w:val="21"/>
        </w:rPr>
        <w:t>场景触达多</w:t>
      </w:r>
      <w:proofErr w:type="gramEnd"/>
      <w:r>
        <w:rPr>
          <w:rFonts w:ascii="微软雅黑" w:eastAsia="微软雅黑" w:hAnsi="微软雅黑" w:hint="eastAsia"/>
          <w:sz w:val="21"/>
          <w:szCs w:val="21"/>
        </w:rPr>
        <w:t>资源的有效覆盖，帮助客户突破获量瓶颈、实现精准用户的捕捉，实现降本增效的统一目标；依托资源技术的加持，对资源流量位置进行布局，同时品效果共振，闭环式进行联动营销，对目标用户进行心智渗透；打破传统常规投放上单一的获量困境</w:t>
      </w:r>
      <w:r>
        <w:rPr>
          <w:rFonts w:ascii="微软雅黑" w:eastAsia="微软雅黑" w:hAnsi="微软雅黑" w:hint="eastAsia"/>
          <w:b/>
          <w:bCs/>
          <w:sz w:val="21"/>
          <w:szCs w:val="21"/>
        </w:rPr>
        <w:t>；</w:t>
      </w:r>
    </w:p>
    <w:p w14:paraId="1BFECEE7" w14:textId="77777777" w:rsidR="004721B7" w:rsidRDefault="00000000">
      <w:pPr>
        <w:numPr>
          <w:ilvl w:val="0"/>
          <w:numId w:val="4"/>
        </w:numPr>
        <w:spacing w:before="100" w:beforeAutospacing="1" w:after="100" w:afterAutospacing="1"/>
        <w:rPr>
          <w:rFonts w:ascii="微软雅黑" w:eastAsia="微软雅黑" w:hAnsi="微软雅黑"/>
          <w:b/>
          <w:bCs/>
          <w:sz w:val="21"/>
          <w:szCs w:val="21"/>
        </w:rPr>
      </w:pPr>
      <w:r>
        <w:rPr>
          <w:rFonts w:ascii="微软雅黑" w:eastAsia="微软雅黑" w:hAnsi="微软雅黑" w:hint="eastAsia"/>
          <w:sz w:val="21"/>
          <w:szCs w:val="21"/>
        </w:rPr>
        <w:t>本次营销活动拉伸了用户对品牌的一个新的高度关注，覆盖的目标用户群体在投放期间，总体Q3环比Q</w:t>
      </w:r>
      <w:r>
        <w:rPr>
          <w:rFonts w:ascii="微软雅黑" w:eastAsia="微软雅黑" w:hAnsi="微软雅黑"/>
          <w:sz w:val="21"/>
          <w:szCs w:val="21"/>
        </w:rPr>
        <w:t>2</w:t>
      </w:r>
      <w:r>
        <w:rPr>
          <w:rFonts w:ascii="微软雅黑" w:eastAsia="微软雅黑" w:hAnsi="微软雅黑" w:hint="eastAsia"/>
          <w:sz w:val="21"/>
          <w:szCs w:val="21"/>
        </w:rPr>
        <w:t>消耗提升</w:t>
      </w:r>
      <w:r>
        <w:rPr>
          <w:rFonts w:ascii="微软雅黑" w:eastAsia="微软雅黑" w:hAnsi="微软雅黑"/>
          <w:sz w:val="21"/>
          <w:szCs w:val="21"/>
        </w:rPr>
        <w:t>135</w:t>
      </w:r>
      <w:r>
        <w:rPr>
          <w:rFonts w:ascii="微软雅黑" w:eastAsia="微软雅黑" w:hAnsi="微软雅黑" w:hint="eastAsia"/>
          <w:sz w:val="21"/>
          <w:szCs w:val="21"/>
        </w:rPr>
        <w:t>%，整体的激活量提升70%，激活成本符合客户预期；</w:t>
      </w:r>
    </w:p>
    <w:p w14:paraId="195430B0" w14:textId="77777777" w:rsidR="004721B7" w:rsidRDefault="00000000">
      <w:pPr>
        <w:numPr>
          <w:ilvl w:val="0"/>
          <w:numId w:val="4"/>
        </w:num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本次营销活动，</w:t>
      </w:r>
      <w:proofErr w:type="gramStart"/>
      <w:r>
        <w:rPr>
          <w:rFonts w:ascii="微软雅黑" w:eastAsia="微软雅黑" w:hAnsi="微软雅黑" w:hint="eastAsia"/>
          <w:sz w:val="21"/>
          <w:szCs w:val="21"/>
        </w:rPr>
        <w:t>通过品效传达</w:t>
      </w:r>
      <w:proofErr w:type="gramEnd"/>
      <w:r>
        <w:rPr>
          <w:rFonts w:ascii="微软雅黑" w:eastAsia="微软雅黑" w:hAnsi="微软雅黑" w:hint="eastAsia"/>
          <w:sz w:val="21"/>
          <w:szCs w:val="21"/>
        </w:rPr>
        <w:t>，获得</w:t>
      </w:r>
      <w:r>
        <w:rPr>
          <w:rFonts w:ascii="微软雅黑" w:eastAsia="微软雅黑" w:hAnsi="微软雅黑"/>
          <w:sz w:val="21"/>
          <w:szCs w:val="21"/>
        </w:rPr>
        <w:t>1</w:t>
      </w:r>
      <w:r>
        <w:rPr>
          <w:rFonts w:ascii="微软雅黑" w:eastAsia="微软雅黑" w:hAnsi="微软雅黑" w:hint="eastAsia"/>
          <w:sz w:val="21"/>
          <w:szCs w:val="21"/>
        </w:rPr>
        <w:t>亿+曝光，</w:t>
      </w:r>
      <w:r>
        <w:rPr>
          <w:rFonts w:ascii="微软雅黑" w:eastAsia="微软雅黑" w:hAnsi="微软雅黑"/>
          <w:sz w:val="21"/>
          <w:szCs w:val="21"/>
        </w:rPr>
        <w:t>45</w:t>
      </w:r>
      <w:r>
        <w:rPr>
          <w:rFonts w:ascii="微软雅黑" w:eastAsia="微软雅黑" w:hAnsi="微软雅黑" w:hint="eastAsia"/>
          <w:sz w:val="21"/>
          <w:szCs w:val="21"/>
        </w:rPr>
        <w:t>万+下载量；相比常规投放时期的转化率帮助提升</w:t>
      </w:r>
      <w:r>
        <w:rPr>
          <w:rFonts w:ascii="微软雅黑" w:eastAsia="微软雅黑" w:hAnsi="微软雅黑"/>
          <w:sz w:val="21"/>
          <w:szCs w:val="21"/>
        </w:rPr>
        <w:t>25</w:t>
      </w:r>
      <w:r>
        <w:rPr>
          <w:rFonts w:ascii="微软雅黑" w:eastAsia="微软雅黑" w:hAnsi="微软雅黑" w:hint="eastAsia"/>
          <w:sz w:val="21"/>
          <w:szCs w:val="21"/>
        </w:rPr>
        <w:t>%</w:t>
      </w:r>
    </w:p>
    <w:p w14:paraId="4DDC8F54" w14:textId="77777777" w:rsidR="004721B7" w:rsidRDefault="00000000">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营销项目对消费者的精准触达，助力中信证券实现用户增长；客户对于本次在小米营销活动的合作成果表示非常满意，并将于后续的年度合作2023年扩大1</w:t>
      </w:r>
      <w:r>
        <w:rPr>
          <w:rFonts w:ascii="微软雅黑" w:eastAsia="微软雅黑" w:hAnsi="微软雅黑"/>
          <w:sz w:val="21"/>
          <w:szCs w:val="21"/>
        </w:rPr>
        <w:t>00</w:t>
      </w:r>
      <w:r>
        <w:rPr>
          <w:rFonts w:ascii="微软雅黑" w:eastAsia="微软雅黑" w:hAnsi="微软雅黑" w:hint="eastAsia"/>
          <w:sz w:val="21"/>
          <w:szCs w:val="21"/>
        </w:rPr>
        <w:t>%的预算，进行小米渠道的广告投入。通过本次的营销活动，为券商产品寻求了</w:t>
      </w:r>
      <w:proofErr w:type="gramStart"/>
      <w:r>
        <w:rPr>
          <w:rFonts w:ascii="微软雅黑" w:eastAsia="微软雅黑" w:hAnsi="微软雅黑" w:hint="eastAsia"/>
          <w:sz w:val="21"/>
          <w:szCs w:val="21"/>
        </w:rPr>
        <w:t>一道可</w:t>
      </w:r>
      <w:proofErr w:type="gramEnd"/>
      <w:r>
        <w:rPr>
          <w:rFonts w:ascii="微软雅黑" w:eastAsia="微软雅黑" w:hAnsi="微软雅黑" w:hint="eastAsia"/>
          <w:sz w:val="21"/>
          <w:szCs w:val="21"/>
        </w:rPr>
        <w:t>复制的</w:t>
      </w:r>
      <w:proofErr w:type="gramStart"/>
      <w:r>
        <w:rPr>
          <w:rFonts w:ascii="微软雅黑" w:eastAsia="微软雅黑" w:hAnsi="微软雅黑" w:hint="eastAsia"/>
          <w:sz w:val="21"/>
          <w:szCs w:val="21"/>
        </w:rPr>
        <w:t>破解获客难成本</w:t>
      </w:r>
      <w:proofErr w:type="gramEnd"/>
      <w:r>
        <w:rPr>
          <w:rFonts w:ascii="微软雅黑" w:eastAsia="微软雅黑" w:hAnsi="微软雅黑" w:hint="eastAsia"/>
          <w:sz w:val="21"/>
          <w:szCs w:val="21"/>
        </w:rPr>
        <w:t>高的突破口；为此，将本次案例的营销手段进行传播输出，为后续券商客户摆脱流量困境以及成本压力形成一套行之有效的营销打法。</w:t>
      </w:r>
    </w:p>
    <w:sectPr w:rsidR="004721B7">
      <w:headerReference w:type="even" r:id="rId13"/>
      <w:headerReference w:type="default" r:id="rId14"/>
      <w:footerReference w:type="even" r:id="rId15"/>
      <w:footerReference w:type="default" r:id="rId16"/>
      <w:headerReference w:type="first" r:id="rId17"/>
      <w:footerReference w:type="first" r:id="rId18"/>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9D47" w14:textId="77777777" w:rsidR="00F554A1" w:rsidRDefault="00F554A1">
      <w:r>
        <w:separator/>
      </w:r>
    </w:p>
  </w:endnote>
  <w:endnote w:type="continuationSeparator" w:id="0">
    <w:p w14:paraId="7F1B0F00" w14:textId="77777777" w:rsidR="00F554A1" w:rsidRDefault="00F5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754C" w14:textId="77777777" w:rsidR="004721B7" w:rsidRDefault="00000000">
    <w:pPr>
      <w:pStyle w:val="a9"/>
      <w:framePr w:wrap="around" w:vAnchor="text" w:hAnchor="margin" w:xAlign="right" w:y="1"/>
      <w:rPr>
        <w:rStyle w:val="af2"/>
      </w:rPr>
    </w:pPr>
    <w:r>
      <w:fldChar w:fldCharType="begin"/>
    </w:r>
    <w:r>
      <w:rPr>
        <w:rStyle w:val="af2"/>
      </w:rPr>
      <w:instrText xml:space="preserve">PAGE  </w:instrText>
    </w:r>
    <w:r>
      <w:fldChar w:fldCharType="separate"/>
    </w:r>
    <w:r>
      <w:rPr>
        <w:rStyle w:val="af2"/>
      </w:rPr>
      <w:t>1</w:t>
    </w:r>
    <w:r>
      <w:fldChar w:fldCharType="end"/>
    </w:r>
  </w:p>
  <w:p w14:paraId="48ACC052" w14:textId="77777777" w:rsidR="004721B7" w:rsidRDefault="004721B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5370" w14:textId="77777777" w:rsidR="004721B7" w:rsidRDefault="004721B7">
    <w:pPr>
      <w:pStyle w:val="a9"/>
      <w:framePr w:wrap="around" w:vAnchor="text" w:hAnchor="margin" w:xAlign="right" w:y="1"/>
      <w:rPr>
        <w:rStyle w:val="af2"/>
      </w:rPr>
    </w:pPr>
  </w:p>
  <w:p w14:paraId="6593A0EA" w14:textId="77777777" w:rsidR="004721B7" w:rsidRDefault="004721B7">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0CCA" w14:textId="77777777" w:rsidR="004721B7" w:rsidRDefault="004721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0A07" w14:textId="77777777" w:rsidR="00F554A1" w:rsidRDefault="00F554A1">
      <w:r>
        <w:separator/>
      </w:r>
    </w:p>
  </w:footnote>
  <w:footnote w:type="continuationSeparator" w:id="0">
    <w:p w14:paraId="26C665B6" w14:textId="77777777" w:rsidR="00F554A1" w:rsidRDefault="00F55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3F82" w14:textId="77777777" w:rsidR="004721B7" w:rsidRDefault="004721B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017C" w14:textId="77777777" w:rsidR="004721B7" w:rsidRDefault="00000000">
    <w:pPr>
      <w:pStyle w:val="aa"/>
      <w:jc w:val="both"/>
      <w:rPr>
        <w:rFonts w:ascii="微软雅黑" w:eastAsia="微软雅黑" w:hAnsi="微软雅黑"/>
        <w:color w:val="333333"/>
        <w:sz w:val="21"/>
      </w:rPr>
    </w:pPr>
    <w:r>
      <w:rPr>
        <w:b/>
        <w:noProof/>
        <w:color w:val="333333"/>
        <w:sz w:val="21"/>
      </w:rPr>
      <w:drawing>
        <wp:inline distT="0" distB="0" distL="0" distR="0" wp14:anchorId="48311987" wp14:editId="1EAD26D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14</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4222" w14:textId="77777777" w:rsidR="004721B7" w:rsidRDefault="004721B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FD0AD3"/>
    <w:multiLevelType w:val="singleLevel"/>
    <w:tmpl w:val="FEFD0AD3"/>
    <w:lvl w:ilvl="0">
      <w:start w:val="1"/>
      <w:numFmt w:val="bullet"/>
      <w:lvlText w:val=""/>
      <w:lvlJc w:val="left"/>
      <w:pPr>
        <w:ind w:left="420" w:hanging="420"/>
      </w:pPr>
      <w:rPr>
        <w:rFonts w:ascii="Wingdings" w:hAnsi="Wingdings" w:hint="default"/>
      </w:rPr>
    </w:lvl>
  </w:abstractNum>
  <w:abstractNum w:abstractNumId="1" w15:restartNumberingAfterBreak="0">
    <w:nsid w:val="324D75DE"/>
    <w:multiLevelType w:val="multilevel"/>
    <w:tmpl w:val="324D75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9530E26"/>
    <w:multiLevelType w:val="multilevel"/>
    <w:tmpl w:val="59530E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864438280">
    <w:abstractNumId w:val="2"/>
  </w:num>
  <w:num w:numId="2" w16cid:durableId="1959293309">
    <w:abstractNumId w:val="3"/>
  </w:num>
  <w:num w:numId="3" w16cid:durableId="1101531208">
    <w:abstractNumId w:val="1"/>
  </w:num>
  <w:num w:numId="4" w16cid:durableId="111898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AwYmJmYmU4ZDZjNjE2NDcwZGI2MGU3ZjNiYzc1YzgifQ=="/>
    <w:docVar w:name="KSO_WPS_MARK_KEY" w:val="463bdb95-2e00-4b27-912d-046677c3c3ee"/>
  </w:docVars>
  <w:rsids>
    <w:rsidRoot w:val="00172A27"/>
    <w:rsid w:val="00000FCE"/>
    <w:rsid w:val="00017189"/>
    <w:rsid w:val="00020E7A"/>
    <w:rsid w:val="00024497"/>
    <w:rsid w:val="00030A60"/>
    <w:rsid w:val="00046CF7"/>
    <w:rsid w:val="000532E1"/>
    <w:rsid w:val="00056E4C"/>
    <w:rsid w:val="0006079A"/>
    <w:rsid w:val="000631F9"/>
    <w:rsid w:val="00071CE5"/>
    <w:rsid w:val="000724F0"/>
    <w:rsid w:val="0007509B"/>
    <w:rsid w:val="00077EC5"/>
    <w:rsid w:val="00083BAC"/>
    <w:rsid w:val="000915E6"/>
    <w:rsid w:val="00097129"/>
    <w:rsid w:val="000979A5"/>
    <w:rsid w:val="000A0F59"/>
    <w:rsid w:val="000A3EB7"/>
    <w:rsid w:val="000B2399"/>
    <w:rsid w:val="000C5FBB"/>
    <w:rsid w:val="000D05FE"/>
    <w:rsid w:val="000D6DC9"/>
    <w:rsid w:val="000E10C0"/>
    <w:rsid w:val="000E18A5"/>
    <w:rsid w:val="000E2A45"/>
    <w:rsid w:val="000F07ED"/>
    <w:rsid w:val="000F4F10"/>
    <w:rsid w:val="000F5168"/>
    <w:rsid w:val="000F5B4A"/>
    <w:rsid w:val="000F63B2"/>
    <w:rsid w:val="00106EA3"/>
    <w:rsid w:val="0010732C"/>
    <w:rsid w:val="00114DD5"/>
    <w:rsid w:val="001231BD"/>
    <w:rsid w:val="001265C9"/>
    <w:rsid w:val="00131A61"/>
    <w:rsid w:val="00132BB8"/>
    <w:rsid w:val="00136B4D"/>
    <w:rsid w:val="00142184"/>
    <w:rsid w:val="001458CE"/>
    <w:rsid w:val="00146A94"/>
    <w:rsid w:val="001540DA"/>
    <w:rsid w:val="00171697"/>
    <w:rsid w:val="00172A27"/>
    <w:rsid w:val="001731D8"/>
    <w:rsid w:val="00173E91"/>
    <w:rsid w:val="00176817"/>
    <w:rsid w:val="00181C7B"/>
    <w:rsid w:val="00184006"/>
    <w:rsid w:val="00192A5B"/>
    <w:rsid w:val="00194762"/>
    <w:rsid w:val="00195220"/>
    <w:rsid w:val="001954B4"/>
    <w:rsid w:val="0019737F"/>
    <w:rsid w:val="001A500D"/>
    <w:rsid w:val="001C2656"/>
    <w:rsid w:val="001C4334"/>
    <w:rsid w:val="001C638C"/>
    <w:rsid w:val="001D11F3"/>
    <w:rsid w:val="001D2E2D"/>
    <w:rsid w:val="001D3F3B"/>
    <w:rsid w:val="001E12DA"/>
    <w:rsid w:val="001E1BDF"/>
    <w:rsid w:val="001E38F1"/>
    <w:rsid w:val="001E6133"/>
    <w:rsid w:val="001F17F1"/>
    <w:rsid w:val="001F36FC"/>
    <w:rsid w:val="001F4270"/>
    <w:rsid w:val="001F720A"/>
    <w:rsid w:val="0020719F"/>
    <w:rsid w:val="0020726A"/>
    <w:rsid w:val="002208F6"/>
    <w:rsid w:val="0022117C"/>
    <w:rsid w:val="0023746F"/>
    <w:rsid w:val="002405B6"/>
    <w:rsid w:val="00242D3C"/>
    <w:rsid w:val="00250580"/>
    <w:rsid w:val="00252186"/>
    <w:rsid w:val="00255B1F"/>
    <w:rsid w:val="00262A77"/>
    <w:rsid w:val="002707E7"/>
    <w:rsid w:val="00270EF0"/>
    <w:rsid w:val="002712AF"/>
    <w:rsid w:val="00274F8A"/>
    <w:rsid w:val="002826E2"/>
    <w:rsid w:val="00290500"/>
    <w:rsid w:val="002A004E"/>
    <w:rsid w:val="002A1CA8"/>
    <w:rsid w:val="002A44B4"/>
    <w:rsid w:val="002B0CDA"/>
    <w:rsid w:val="002B1FC2"/>
    <w:rsid w:val="002C2690"/>
    <w:rsid w:val="002E7E41"/>
    <w:rsid w:val="002F19A7"/>
    <w:rsid w:val="002F2AF3"/>
    <w:rsid w:val="002F3A4B"/>
    <w:rsid w:val="002F7E7A"/>
    <w:rsid w:val="003056B8"/>
    <w:rsid w:val="00311DCD"/>
    <w:rsid w:val="00317BD4"/>
    <w:rsid w:val="00320B24"/>
    <w:rsid w:val="003219F7"/>
    <w:rsid w:val="00334561"/>
    <w:rsid w:val="00334623"/>
    <w:rsid w:val="00341654"/>
    <w:rsid w:val="003548BE"/>
    <w:rsid w:val="00361FEC"/>
    <w:rsid w:val="00362043"/>
    <w:rsid w:val="00365FAB"/>
    <w:rsid w:val="00371D9E"/>
    <w:rsid w:val="00371F8B"/>
    <w:rsid w:val="00386E93"/>
    <w:rsid w:val="0038758A"/>
    <w:rsid w:val="003A2FD7"/>
    <w:rsid w:val="003A3097"/>
    <w:rsid w:val="003A3802"/>
    <w:rsid w:val="003B69CD"/>
    <w:rsid w:val="003C78A2"/>
    <w:rsid w:val="003D419A"/>
    <w:rsid w:val="003E2E89"/>
    <w:rsid w:val="003E42EA"/>
    <w:rsid w:val="003E5177"/>
    <w:rsid w:val="003E61DD"/>
    <w:rsid w:val="003F1321"/>
    <w:rsid w:val="003F1D64"/>
    <w:rsid w:val="003F3BB6"/>
    <w:rsid w:val="003F3F93"/>
    <w:rsid w:val="003F410F"/>
    <w:rsid w:val="003F4BD3"/>
    <w:rsid w:val="004004E8"/>
    <w:rsid w:val="00404490"/>
    <w:rsid w:val="00407F5C"/>
    <w:rsid w:val="00407FAE"/>
    <w:rsid w:val="004109EA"/>
    <w:rsid w:val="0041146A"/>
    <w:rsid w:val="00414CAD"/>
    <w:rsid w:val="00423117"/>
    <w:rsid w:val="00426569"/>
    <w:rsid w:val="00426D8C"/>
    <w:rsid w:val="00443C7A"/>
    <w:rsid w:val="004452BA"/>
    <w:rsid w:val="00451221"/>
    <w:rsid w:val="00453929"/>
    <w:rsid w:val="004555F7"/>
    <w:rsid w:val="0046273B"/>
    <w:rsid w:val="00462CFD"/>
    <w:rsid w:val="00464EA7"/>
    <w:rsid w:val="004651A5"/>
    <w:rsid w:val="004721B7"/>
    <w:rsid w:val="004767D7"/>
    <w:rsid w:val="0048060F"/>
    <w:rsid w:val="00481039"/>
    <w:rsid w:val="0048122B"/>
    <w:rsid w:val="00484916"/>
    <w:rsid w:val="004861A7"/>
    <w:rsid w:val="0048758B"/>
    <w:rsid w:val="00491A67"/>
    <w:rsid w:val="00492C50"/>
    <w:rsid w:val="004A4904"/>
    <w:rsid w:val="004C539E"/>
    <w:rsid w:val="004D3EF9"/>
    <w:rsid w:val="004D53A9"/>
    <w:rsid w:val="004E459E"/>
    <w:rsid w:val="004E704D"/>
    <w:rsid w:val="004F1372"/>
    <w:rsid w:val="004F1399"/>
    <w:rsid w:val="004F7523"/>
    <w:rsid w:val="005002D8"/>
    <w:rsid w:val="00504A62"/>
    <w:rsid w:val="00504C23"/>
    <w:rsid w:val="00505D58"/>
    <w:rsid w:val="00506B17"/>
    <w:rsid w:val="00507EB8"/>
    <w:rsid w:val="005205A4"/>
    <w:rsid w:val="0052080E"/>
    <w:rsid w:val="005344CB"/>
    <w:rsid w:val="00535A1F"/>
    <w:rsid w:val="005479C8"/>
    <w:rsid w:val="00547E1C"/>
    <w:rsid w:val="005504E6"/>
    <w:rsid w:val="0055479D"/>
    <w:rsid w:val="0056337E"/>
    <w:rsid w:val="00567477"/>
    <w:rsid w:val="0057565D"/>
    <w:rsid w:val="005764AD"/>
    <w:rsid w:val="0058033D"/>
    <w:rsid w:val="00582608"/>
    <w:rsid w:val="00582F7D"/>
    <w:rsid w:val="0058396D"/>
    <w:rsid w:val="005A539D"/>
    <w:rsid w:val="005A56AE"/>
    <w:rsid w:val="005A697D"/>
    <w:rsid w:val="005B2564"/>
    <w:rsid w:val="005B6389"/>
    <w:rsid w:val="005C011B"/>
    <w:rsid w:val="005C16B2"/>
    <w:rsid w:val="005D5D19"/>
    <w:rsid w:val="005D614B"/>
    <w:rsid w:val="005D77D7"/>
    <w:rsid w:val="005E121A"/>
    <w:rsid w:val="005E3AFB"/>
    <w:rsid w:val="005E3D19"/>
    <w:rsid w:val="005E4E84"/>
    <w:rsid w:val="005F5C93"/>
    <w:rsid w:val="006053F3"/>
    <w:rsid w:val="006126FE"/>
    <w:rsid w:val="00613CE9"/>
    <w:rsid w:val="00642F29"/>
    <w:rsid w:val="00644994"/>
    <w:rsid w:val="00650F34"/>
    <w:rsid w:val="0065385E"/>
    <w:rsid w:val="0065606B"/>
    <w:rsid w:val="0065759C"/>
    <w:rsid w:val="00661A8D"/>
    <w:rsid w:val="006707FE"/>
    <w:rsid w:val="0067611E"/>
    <w:rsid w:val="006853C8"/>
    <w:rsid w:val="00693C3F"/>
    <w:rsid w:val="006955F5"/>
    <w:rsid w:val="006A24F1"/>
    <w:rsid w:val="006B5BB6"/>
    <w:rsid w:val="006B781B"/>
    <w:rsid w:val="006C16A7"/>
    <w:rsid w:val="006C1733"/>
    <w:rsid w:val="006D2064"/>
    <w:rsid w:val="006D4934"/>
    <w:rsid w:val="006D5766"/>
    <w:rsid w:val="006F421E"/>
    <w:rsid w:val="006F662D"/>
    <w:rsid w:val="007040B0"/>
    <w:rsid w:val="00710B89"/>
    <w:rsid w:val="00715AD3"/>
    <w:rsid w:val="00716B53"/>
    <w:rsid w:val="00720C71"/>
    <w:rsid w:val="0072102A"/>
    <w:rsid w:val="007270CB"/>
    <w:rsid w:val="0072725D"/>
    <w:rsid w:val="0073004D"/>
    <w:rsid w:val="0073428A"/>
    <w:rsid w:val="007365E4"/>
    <w:rsid w:val="0074117C"/>
    <w:rsid w:val="00753753"/>
    <w:rsid w:val="007538EE"/>
    <w:rsid w:val="007541B7"/>
    <w:rsid w:val="00764220"/>
    <w:rsid w:val="00776F56"/>
    <w:rsid w:val="007847AB"/>
    <w:rsid w:val="0079238C"/>
    <w:rsid w:val="00793F18"/>
    <w:rsid w:val="00795109"/>
    <w:rsid w:val="007A0451"/>
    <w:rsid w:val="007A4E3A"/>
    <w:rsid w:val="007A6380"/>
    <w:rsid w:val="007B2D27"/>
    <w:rsid w:val="007C0828"/>
    <w:rsid w:val="007C3F70"/>
    <w:rsid w:val="007C4C7A"/>
    <w:rsid w:val="007D5451"/>
    <w:rsid w:val="007D76B6"/>
    <w:rsid w:val="007E2B9D"/>
    <w:rsid w:val="007F6422"/>
    <w:rsid w:val="0080439E"/>
    <w:rsid w:val="00811DBD"/>
    <w:rsid w:val="00812085"/>
    <w:rsid w:val="00812A8A"/>
    <w:rsid w:val="00813515"/>
    <w:rsid w:val="008159A4"/>
    <w:rsid w:val="00820C09"/>
    <w:rsid w:val="00823822"/>
    <w:rsid w:val="00825032"/>
    <w:rsid w:val="00832432"/>
    <w:rsid w:val="008326D5"/>
    <w:rsid w:val="00832F83"/>
    <w:rsid w:val="00833986"/>
    <w:rsid w:val="00847B24"/>
    <w:rsid w:val="0085738D"/>
    <w:rsid w:val="008612D4"/>
    <w:rsid w:val="008674D7"/>
    <w:rsid w:val="00875DF6"/>
    <w:rsid w:val="00880022"/>
    <w:rsid w:val="008825EF"/>
    <w:rsid w:val="008875A4"/>
    <w:rsid w:val="008B2200"/>
    <w:rsid w:val="008B689B"/>
    <w:rsid w:val="008C2693"/>
    <w:rsid w:val="008D5A6F"/>
    <w:rsid w:val="008F2CAF"/>
    <w:rsid w:val="00902EA3"/>
    <w:rsid w:val="00903505"/>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50"/>
    <w:rsid w:val="009823A9"/>
    <w:rsid w:val="00983853"/>
    <w:rsid w:val="009849FB"/>
    <w:rsid w:val="00993AA4"/>
    <w:rsid w:val="0099692F"/>
    <w:rsid w:val="00996EE6"/>
    <w:rsid w:val="009B0E2C"/>
    <w:rsid w:val="009B796F"/>
    <w:rsid w:val="009C6E37"/>
    <w:rsid w:val="009D5BD0"/>
    <w:rsid w:val="009E0D6A"/>
    <w:rsid w:val="009E6D94"/>
    <w:rsid w:val="009F7D3B"/>
    <w:rsid w:val="00A00360"/>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3D24"/>
    <w:rsid w:val="00A44A15"/>
    <w:rsid w:val="00A45F48"/>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A6DFC"/>
    <w:rsid w:val="00AB367B"/>
    <w:rsid w:val="00AB41BF"/>
    <w:rsid w:val="00AB5A65"/>
    <w:rsid w:val="00AB7EE6"/>
    <w:rsid w:val="00AC6E5A"/>
    <w:rsid w:val="00AD1334"/>
    <w:rsid w:val="00AD1E2C"/>
    <w:rsid w:val="00AD58E1"/>
    <w:rsid w:val="00AD5FDE"/>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4FD4"/>
    <w:rsid w:val="00BA7554"/>
    <w:rsid w:val="00BB0E07"/>
    <w:rsid w:val="00BB1A99"/>
    <w:rsid w:val="00BB7C80"/>
    <w:rsid w:val="00BC1804"/>
    <w:rsid w:val="00BC7577"/>
    <w:rsid w:val="00BD5747"/>
    <w:rsid w:val="00BD741B"/>
    <w:rsid w:val="00BD7FD3"/>
    <w:rsid w:val="00BE28C0"/>
    <w:rsid w:val="00BE6FF7"/>
    <w:rsid w:val="00BF2065"/>
    <w:rsid w:val="00BF6726"/>
    <w:rsid w:val="00C00168"/>
    <w:rsid w:val="00C04E7B"/>
    <w:rsid w:val="00C078EC"/>
    <w:rsid w:val="00C171FB"/>
    <w:rsid w:val="00C272F9"/>
    <w:rsid w:val="00C40E03"/>
    <w:rsid w:val="00C471AC"/>
    <w:rsid w:val="00C5015C"/>
    <w:rsid w:val="00C516C8"/>
    <w:rsid w:val="00C657FA"/>
    <w:rsid w:val="00C67E7C"/>
    <w:rsid w:val="00C73B42"/>
    <w:rsid w:val="00C93159"/>
    <w:rsid w:val="00C96025"/>
    <w:rsid w:val="00CA397B"/>
    <w:rsid w:val="00CA426C"/>
    <w:rsid w:val="00CB2251"/>
    <w:rsid w:val="00CB2938"/>
    <w:rsid w:val="00CB29C6"/>
    <w:rsid w:val="00CB462E"/>
    <w:rsid w:val="00CB4A74"/>
    <w:rsid w:val="00CB66E9"/>
    <w:rsid w:val="00CC24FE"/>
    <w:rsid w:val="00CC70FB"/>
    <w:rsid w:val="00CE55AC"/>
    <w:rsid w:val="00D0086A"/>
    <w:rsid w:val="00D02957"/>
    <w:rsid w:val="00D1108E"/>
    <w:rsid w:val="00D13BC3"/>
    <w:rsid w:val="00D14F03"/>
    <w:rsid w:val="00D409BB"/>
    <w:rsid w:val="00D411C0"/>
    <w:rsid w:val="00D5007A"/>
    <w:rsid w:val="00D5598B"/>
    <w:rsid w:val="00D56BD0"/>
    <w:rsid w:val="00D63679"/>
    <w:rsid w:val="00D6725D"/>
    <w:rsid w:val="00D71A2E"/>
    <w:rsid w:val="00D731FC"/>
    <w:rsid w:val="00D80431"/>
    <w:rsid w:val="00D80973"/>
    <w:rsid w:val="00DB0B6E"/>
    <w:rsid w:val="00DB3708"/>
    <w:rsid w:val="00DB4C4A"/>
    <w:rsid w:val="00DC32E7"/>
    <w:rsid w:val="00DC397E"/>
    <w:rsid w:val="00DC4A32"/>
    <w:rsid w:val="00DD2036"/>
    <w:rsid w:val="00DD56E4"/>
    <w:rsid w:val="00DE76F1"/>
    <w:rsid w:val="00E004F9"/>
    <w:rsid w:val="00E21168"/>
    <w:rsid w:val="00E23547"/>
    <w:rsid w:val="00E26E63"/>
    <w:rsid w:val="00E336C0"/>
    <w:rsid w:val="00E40C58"/>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3DCC"/>
    <w:rsid w:val="00ED507C"/>
    <w:rsid w:val="00EE38CD"/>
    <w:rsid w:val="00EE4F13"/>
    <w:rsid w:val="00EE6D2C"/>
    <w:rsid w:val="00EE72D7"/>
    <w:rsid w:val="00F0134F"/>
    <w:rsid w:val="00F06F3C"/>
    <w:rsid w:val="00F22A6C"/>
    <w:rsid w:val="00F22C99"/>
    <w:rsid w:val="00F35569"/>
    <w:rsid w:val="00F3618F"/>
    <w:rsid w:val="00F4008B"/>
    <w:rsid w:val="00F41E61"/>
    <w:rsid w:val="00F503C8"/>
    <w:rsid w:val="00F554A1"/>
    <w:rsid w:val="00F56689"/>
    <w:rsid w:val="00F66741"/>
    <w:rsid w:val="00F707D3"/>
    <w:rsid w:val="00F821BF"/>
    <w:rsid w:val="00F853FB"/>
    <w:rsid w:val="00F97F71"/>
    <w:rsid w:val="00FA4FF9"/>
    <w:rsid w:val="00FB3C62"/>
    <w:rsid w:val="00FB6FEC"/>
    <w:rsid w:val="00FC3853"/>
    <w:rsid w:val="00FC53DE"/>
    <w:rsid w:val="00FC629F"/>
    <w:rsid w:val="00FC74F1"/>
    <w:rsid w:val="00FC7652"/>
    <w:rsid w:val="00FD2192"/>
    <w:rsid w:val="00FD7498"/>
    <w:rsid w:val="00FD7838"/>
    <w:rsid w:val="00FD7E55"/>
    <w:rsid w:val="00FE1360"/>
    <w:rsid w:val="00FE497C"/>
    <w:rsid w:val="00FE70B2"/>
    <w:rsid w:val="00FE7398"/>
    <w:rsid w:val="00FF3079"/>
    <w:rsid w:val="0194674A"/>
    <w:rsid w:val="09622E16"/>
    <w:rsid w:val="0A456229"/>
    <w:rsid w:val="0BB84DE3"/>
    <w:rsid w:val="149D50DE"/>
    <w:rsid w:val="17DF7B8A"/>
    <w:rsid w:val="22D4121A"/>
    <w:rsid w:val="3F316DAB"/>
    <w:rsid w:val="3FC76DC7"/>
    <w:rsid w:val="54B60B02"/>
    <w:rsid w:val="5CE40B61"/>
    <w:rsid w:val="73B13A3B"/>
    <w:rsid w:val="78E87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D53CD"/>
  <w15:docId w15:val="{8616D03C-99A4-4FE2-9ED9-4468E961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paragraph" w:styleId="3">
    <w:name w:val="heading 3"/>
    <w:basedOn w:val="a"/>
    <w:next w:val="a"/>
    <w:uiPriority w:val="9"/>
    <w:semiHidden/>
    <w:unhideWhenUsed/>
    <w:qFormat/>
    <w:pPr>
      <w:spacing w:beforeAutospacing="1" w:afterAutospacing="1"/>
      <w:outlineLvl w:val="2"/>
    </w:pPr>
    <w:rPr>
      <w:rFonts w:cs="Times New Roman" w:hint="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Indent"/>
    <w:basedOn w:val="a"/>
    <w:qFormat/>
    <w:pPr>
      <w:autoSpaceDE w:val="0"/>
      <w:autoSpaceDN w:val="0"/>
      <w:adjustRightInd w:val="0"/>
      <w:spacing w:line="240" w:lineRule="atLeast"/>
      <w:ind w:left="2160"/>
    </w:pPr>
    <w:rPr>
      <w:rFonts w:ascii="Arial" w:hAnsi="Arial" w:cs="Times New Roman"/>
      <w:color w:val="000000"/>
      <w:szCs w:val="20"/>
      <w:lang w:eastAsia="en-US"/>
    </w:rPr>
  </w:style>
  <w:style w:type="paragraph" w:styleId="a6">
    <w:name w:val="Plain Text"/>
    <w:basedOn w:val="a"/>
    <w:qFormat/>
    <w:rPr>
      <w:rFonts w:ascii="Arial" w:hAnsi="Arial" w:cs="Times New Roman"/>
      <w:sz w:val="18"/>
      <w:szCs w:val="20"/>
    </w:rPr>
  </w:style>
  <w:style w:type="paragraph" w:styleId="a7">
    <w:name w:val="Balloon Text"/>
    <w:basedOn w:val="a"/>
    <w:link w:val="a8"/>
    <w:uiPriority w:val="99"/>
    <w:semiHidden/>
    <w:unhideWhenUsed/>
    <w:qFormat/>
    <w:rPr>
      <w:sz w:val="18"/>
      <w:szCs w:val="18"/>
    </w:rPr>
  </w:style>
  <w:style w:type="paragraph" w:styleId="a9">
    <w:name w:val="footer"/>
    <w:basedOn w:val="a"/>
    <w:qFormat/>
    <w:pPr>
      <w:widowControl w:val="0"/>
      <w:tabs>
        <w:tab w:val="center" w:pos="4153"/>
        <w:tab w:val="right" w:pos="8306"/>
      </w:tabs>
      <w:snapToGrid w:val="0"/>
    </w:pPr>
    <w:rPr>
      <w:rFonts w:ascii="Times New Roman" w:hAnsi="Times New Roman" w:cs="Times New Roman"/>
      <w:kern w:val="2"/>
      <w:sz w:val="18"/>
      <w:szCs w:val="20"/>
    </w:rPr>
  </w:style>
  <w:style w:type="paragraph" w:styleId="aa">
    <w:name w:val="header"/>
    <w:basedOn w:val="a"/>
    <w:qFormat/>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b">
    <w:name w:val="Normal (Web)"/>
    <w:basedOn w:val="a"/>
    <w:uiPriority w:val="99"/>
    <w:qFormat/>
    <w:pPr>
      <w:spacing w:before="100" w:beforeAutospacing="1" w:after="100" w:afterAutospacing="1"/>
    </w:pPr>
    <w:rPr>
      <w:rFonts w:cs="Times New Roman"/>
      <w:szCs w:val="20"/>
    </w:rPr>
  </w:style>
  <w:style w:type="paragraph" w:styleId="ac">
    <w:name w:val="Title"/>
    <w:basedOn w:val="a"/>
    <w:link w:val="ad"/>
    <w:qFormat/>
    <w:pPr>
      <w:jc w:val="center"/>
    </w:pPr>
    <w:rPr>
      <w:rFonts w:ascii="Times New Roman" w:hAnsi="Times New Roman" w:cs="Times New Roman"/>
      <w:b/>
      <w:kern w:val="2"/>
      <w:sz w:val="28"/>
      <w:szCs w:val="20"/>
      <w:lang w:eastAsia="en-US"/>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0"/>
    <w:qFormat/>
    <w:rPr>
      <w:b/>
    </w:rPr>
  </w:style>
  <w:style w:type="character" w:styleId="af2">
    <w:name w:val="page number"/>
    <w:basedOn w:val="a0"/>
    <w:qFormat/>
  </w:style>
  <w:style w:type="character" w:styleId="af3">
    <w:name w:val="Emphasis"/>
    <w:basedOn w:val="a0"/>
    <w:qFormat/>
    <w:rPr>
      <w:i/>
    </w:rPr>
  </w:style>
  <w:style w:type="character" w:styleId="af4">
    <w:name w:val="Hyperlink"/>
    <w:basedOn w:val="a0"/>
    <w:qFormat/>
    <w:rPr>
      <w:color w:val="0000FF"/>
      <w:u w:val="single"/>
    </w:rPr>
  </w:style>
  <w:style w:type="character" w:styleId="af5">
    <w:name w:val="annotation reference"/>
    <w:basedOn w:val="a0"/>
    <w:uiPriority w:val="99"/>
    <w:semiHidden/>
    <w:unhideWhenUsed/>
    <w:rPr>
      <w:sz w:val="21"/>
      <w:szCs w:val="21"/>
    </w:rPr>
  </w:style>
  <w:style w:type="character" w:customStyle="1" w:styleId="ad">
    <w:name w:val="标题 字符"/>
    <w:basedOn w:val="a0"/>
    <w:link w:val="ac"/>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6">
    <w:name w:val="List Paragraph"/>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qFormat/>
    <w:pPr>
      <w:jc w:val="both"/>
    </w:pPr>
    <w:rPr>
      <w:rFonts w:ascii="Times New Roman" w:hAnsi="Times New Roman" w:cs="Times New Roman"/>
      <w:sz w:val="21"/>
      <w:szCs w:val="20"/>
    </w:rPr>
  </w:style>
  <w:style w:type="paragraph" w:customStyle="1" w:styleId="css">
    <w:name w:val="css"/>
    <w:basedOn w:val="a"/>
    <w:qFormat/>
    <w:pPr>
      <w:spacing w:before="100" w:beforeAutospacing="1" w:after="100" w:afterAutospacing="1"/>
    </w:pPr>
    <w:rPr>
      <w:rFonts w:cs="Times New Roman"/>
      <w:color w:val="0F0000"/>
      <w:sz w:val="18"/>
      <w:szCs w:val="20"/>
    </w:rPr>
  </w:style>
  <w:style w:type="paragraph" w:customStyle="1" w:styleId="af7">
    <w:name w:val="清單段落"/>
    <w:basedOn w:val="a"/>
    <w:qFormat/>
    <w:pPr>
      <w:widowControl w:val="0"/>
      <w:ind w:left="720"/>
      <w:jc w:val="both"/>
    </w:pPr>
    <w:rPr>
      <w:rFonts w:ascii="Times New Roman" w:hAnsi="Times New Roman" w:cs="Times New Roman"/>
      <w:kern w:val="2"/>
      <w:sz w:val="21"/>
      <w:szCs w:val="20"/>
    </w:rPr>
  </w:style>
  <w:style w:type="character" w:customStyle="1" w:styleId="a8">
    <w:name w:val="批注框文本 字符"/>
    <w:basedOn w:val="a0"/>
    <w:link w:val="a7"/>
    <w:uiPriority w:val="99"/>
    <w:semiHidden/>
    <w:rPr>
      <w:kern w:val="2"/>
      <w:sz w:val="18"/>
      <w:szCs w:val="18"/>
    </w:rPr>
  </w:style>
  <w:style w:type="character" w:customStyle="1" w:styleId="a4">
    <w:name w:val="批注文字 字符"/>
    <w:basedOn w:val="a0"/>
    <w:link w:val="a3"/>
    <w:uiPriority w:val="99"/>
    <w:semiHidden/>
    <w:qFormat/>
    <w:rPr>
      <w:rFonts w:ascii="宋体" w:hAnsi="宋体" w:cs="宋体"/>
      <w:sz w:val="24"/>
      <w:szCs w:val="24"/>
    </w:rPr>
  </w:style>
  <w:style w:type="character" w:customStyle="1" w:styleId="af">
    <w:name w:val="批注主题 字符"/>
    <w:basedOn w:val="a4"/>
    <w:link w:val="ae"/>
    <w:uiPriority w:val="99"/>
    <w:semiHidden/>
    <w:qFormat/>
    <w:rPr>
      <w:rFonts w:ascii="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9D8D83D-15CB-42BD-8BA3-0F4ACD3B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366</Words>
  <Characters>2087</Characters>
  <Application>Microsoft Office Word</Application>
  <DocSecurity>0</DocSecurity>
  <Lines>17</Lines>
  <Paragraphs>4</Paragraphs>
  <ScaleCrop>false</ScaleCrop>
  <Company>WWW.YlmF.CoM</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Admin</cp:lastModifiedBy>
  <cp:revision>3</cp:revision>
  <cp:lastPrinted>2012-10-11T08:46:00Z</cp:lastPrinted>
  <dcterms:created xsi:type="dcterms:W3CDTF">2023-02-14T03:08:00Z</dcterms:created>
  <dcterms:modified xsi:type="dcterms:W3CDTF">2023-02-17T06:56:00Z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A199608674E946C8A7BBA236E6050B6B</vt:lpwstr>
  </property>
</Properties>
</file>