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9DB36B" w14:textId="22768F5A" w:rsidR="00A5001F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别克</w:t>
      </w:r>
      <w:r w:rsidR="008412B7" w:rsidRPr="008412B7">
        <w:rPr>
          <w:rFonts w:ascii="微软雅黑" w:eastAsia="微软雅黑" w:hAnsi="微软雅黑" w:cs="Times New Roman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北冰洋品牌跨界营销</w:t>
      </w:r>
    </w:p>
    <w:p w14:paraId="2DF8CA3E" w14:textId="77777777" w:rsidR="00A5001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：上汽通用别克</w:t>
      </w:r>
    </w:p>
    <w:p w14:paraId="3C73731B" w14:textId="77777777" w:rsidR="00A5001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3413B0B2" w14:textId="77777777" w:rsidR="00A5001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：2022.11.12-12.02</w:t>
      </w:r>
    </w:p>
    <w:p w14:paraId="726E66FD" w14:textId="5765240C" w:rsidR="00A5001F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8412B7" w:rsidRPr="008412B7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42C4AEB2" w14:textId="77777777" w:rsidR="00A500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E6EBDEE" w14:textId="77777777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汽车市场竞争激烈的当下，别克品牌仍与头部汽车品牌存在明显差距，别克与日产、吉利同处于非豪华市场第二阵营，且其购买触动力与日系竞品差距拉大，因此别克品牌在目前的汽车市场中并不占据主要优势。</w:t>
      </w:r>
    </w:p>
    <w:p w14:paraId="49791014" w14:textId="77777777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而据最新数据显示现阶段人群年龄结构稳步年轻化，年轻一代正在逐渐成为汽车的主要消费人群，但在别克品牌多年发展下，人们对于别克的品牌认知固化为不够年轻，别克与年轻消费群体的直接沟通不足，未能形成社交货币。</w:t>
      </w:r>
    </w:p>
    <w:p w14:paraId="446AA715" w14:textId="77777777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这些因素影响下别克在85-95后主力购车人群增长进程慢于主流市场，对于年轻人的品牌吸引力欠缺。且别克品牌的标签不够清晰，激情进取形象不足，而传统消费人群以男性消费者为主导致潜力增量也有所欠缺。</w:t>
      </w:r>
      <w:r>
        <w:rPr>
          <w:bCs/>
          <w:noProof/>
          <w:color w:val="0D0D0D" w:themeColor="text1" w:themeTint="F2"/>
          <w:szCs w:val="21"/>
        </w:rPr>
        <w:drawing>
          <wp:inline distT="0" distB="0" distL="114300" distR="114300" wp14:anchorId="10A0210A" wp14:editId="6A202850">
            <wp:extent cx="5711825" cy="2605405"/>
            <wp:effectExtent l="0" t="0" r="3175" b="635"/>
            <wp:docPr id="3" name="图片 3" descr="C:\Users\zgs19\Desktop\报奖\。\1-.jpg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gs19\Desktop\报奖\。\1-.jpg1-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8A5F9" w14:textId="77777777" w:rsidR="00A500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D241706" w14:textId="77777777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助力别克品牌打破人们固有的品牌印象，使别克能够在改变中与新时代共鸣，全面落地品牌年轻化版图。且做到持续、广泛地吸引年轻群体的价值共鸣，以“基因减龄”的姿态让别克的“激情进取”价值成为与新世代用户共鸣、成长、进化的伙伴。</w:t>
      </w:r>
    </w:p>
    <w:p w14:paraId="4C942BA7" w14:textId="77777777" w:rsidR="00A500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B5B83C7" w14:textId="77777777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8E5247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以「再来一Píng」为传播主旨，围绕别克威朗Pro车型“双联屏”的核心卖点，延伸打造别克x北冰洋联名款定制饮料“双联瓶”。</w:t>
      </w:r>
      <w:r>
        <w:rPr>
          <w:rFonts w:ascii="微软雅黑" w:eastAsia="微软雅黑" w:hAnsi="微软雅黑" w:hint="eastAsia"/>
          <w:sz w:val="21"/>
          <w:szCs w:val="21"/>
        </w:rPr>
        <w:t>传递品牌产品端的“再来一屏”的科技便利，从传播端给年轻人“再来一瓶”的新奇惊喜。深度捆绑别克（双联屏）&amp;北冰洋（桔汁汽水）核心产品力，达成品牌流量双向互通。</w:t>
      </w:r>
    </w:p>
    <w:p w14:paraId="30DB4887" w14:textId="77777777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一瓶以北冰洋的橘色为基色，命名“够JÚ气”；另一瓶以威朗Pro GS的蓝色为基色，命名“别KÈ气”。</w:t>
      </w:r>
      <w:r w:rsidRPr="008E5247">
        <w:rPr>
          <w:rFonts w:ascii="微软雅黑" w:eastAsia="微软雅黑" w:hAnsi="微软雅黑" w:hint="eastAsia"/>
          <w:b/>
          <w:bCs/>
          <w:sz w:val="21"/>
          <w:szCs w:val="21"/>
        </w:rPr>
        <w:t>“够JÚ气 别KÈ气”作为别克与北冰洋的跨界合作主题，也由此诞生。</w:t>
      </w:r>
      <w:r>
        <w:rPr>
          <w:rFonts w:ascii="微软雅黑" w:eastAsia="微软雅黑" w:hAnsi="微软雅黑" w:hint="eastAsia"/>
          <w:sz w:val="21"/>
          <w:szCs w:val="21"/>
        </w:rPr>
        <w:t>在成都车展展出威朗Pro GS涂装版拉开别克x北冰洋跨界序幕。</w:t>
      </w:r>
    </w:p>
    <w:p w14:paraId="450C6476" w14:textId="77777777" w:rsidR="008412B7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CE2DB9">
        <w:rPr>
          <w:rFonts w:ascii="微软雅黑" w:eastAsia="微软雅黑" w:hAnsi="微软雅黑" w:hint="eastAsia"/>
          <w:b/>
          <w:bCs/>
          <w:sz w:val="21"/>
          <w:szCs w:val="21"/>
        </w:rPr>
        <w:t>创作视频MV画面创作投年轻消费者所好使用滑板、飞盘等场景，利用酷炫的画面拍摄及剪辑手法</w:t>
      </w:r>
      <w:r>
        <w:rPr>
          <w:rFonts w:ascii="微软雅黑" w:eastAsia="微软雅黑" w:hAnsi="微软雅黑" w:hint="eastAsia"/>
          <w:sz w:val="21"/>
          <w:szCs w:val="21"/>
        </w:rPr>
        <w:t>，结合手绘风格动画元素，展现年轻品牌联合态度及品牌核心信息，同时借京味Rap凸显年轻人求新创新、活力拼搏的态度，紧扣「够JÚ气 别KÈ气」主题，强化“再来一Píng”卖点及品牌联合事件。</w:t>
      </w:r>
    </w:p>
    <w:p w14:paraId="677A37C9" w14:textId="19CFF2B4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8" w:history="1">
        <w:r w:rsidR="008412B7" w:rsidRPr="00037292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https://www.xinpianchang.com/a12333083</w:t>
        </w:r>
      </w:hyperlink>
    </w:p>
    <w:p w14:paraId="56BB0491" w14:textId="77777777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8E5247">
        <w:rPr>
          <w:rFonts w:ascii="微软雅黑" w:eastAsia="微软雅黑" w:hAnsi="微软雅黑" w:hint="eastAsia"/>
          <w:b/>
          <w:bCs/>
          <w:sz w:val="21"/>
          <w:szCs w:val="21"/>
        </w:rPr>
        <w:t>线下活动选取北京2022最新潮流打卡地-北京首钢园，通过跨界直播开启活动打卡，围绕“别克x北冰洋”品牌联名事件</w:t>
      </w:r>
      <w:r>
        <w:rPr>
          <w:rFonts w:ascii="微软雅黑" w:eastAsia="微软雅黑" w:hAnsi="微软雅黑" w:hint="eastAsia"/>
          <w:sz w:val="21"/>
          <w:szCs w:val="21"/>
        </w:rPr>
        <w:t>，展示威朗Pro核心卖点及联名定制饮品，加大联名宣传力度。全面贯穿产品点「双联屏」的设计概念，场地新车昂扬与涂装威朗Pro同展增强关注点。</w:t>
      </w:r>
    </w:p>
    <w:p w14:paraId="5FAB13C1" w14:textId="77777777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b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涂装车首先推出来打造热点、聚焦流量，通过关联双方品牌特色设计吸引用户；同时在展出双联瓶联名饮料以潮流标配撬动用户，营造话题深度洞察用户兴趣点；最后以线下快闪店形式整合性输出联名理念，放大卖点强化标签，借势地标热度，通过达人铺量覆盖新媒体。</w:t>
      </w:r>
      <w:r>
        <w:rPr>
          <w:rFonts w:hint="eastAsia"/>
          <w:b/>
          <w:noProof/>
          <w:color w:val="0D0D0D" w:themeColor="text1" w:themeTint="F2"/>
          <w:szCs w:val="21"/>
        </w:rPr>
        <w:drawing>
          <wp:inline distT="0" distB="0" distL="114300" distR="114300" wp14:anchorId="6EB7814B" wp14:editId="10E7FA3C">
            <wp:extent cx="5798820" cy="1609090"/>
            <wp:effectExtent l="0" t="0" r="7620" b="6350"/>
            <wp:docPr id="15" name="图片 15" descr="饮料+涂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饮料+涂装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0D0D0D" w:themeColor="text1" w:themeTint="F2"/>
          <w:szCs w:val="21"/>
        </w:rPr>
        <w:drawing>
          <wp:inline distT="0" distB="0" distL="114300" distR="114300" wp14:anchorId="2E777723" wp14:editId="38223B0E">
            <wp:extent cx="5779135" cy="1264285"/>
            <wp:effectExtent l="0" t="0" r="12065" b="635"/>
            <wp:docPr id="20" name="图片 20" descr="C:\Users\zgs19\Desktop\报奖\未标题-2.jp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gs19\Desktop\报奖\未标题-2.jpg未标题-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AE3A" w14:textId="77777777" w:rsidR="00A500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hint="eastAsia"/>
          <w:b/>
          <w:noProof/>
          <w:color w:val="0D0D0D" w:themeColor="text1" w:themeTint="F2"/>
          <w:szCs w:val="21"/>
        </w:rPr>
        <w:lastRenderedPageBreak/>
        <w:drawing>
          <wp:inline distT="0" distB="0" distL="114300" distR="114300" wp14:anchorId="14404A8D" wp14:editId="0178BB20">
            <wp:extent cx="5793105" cy="1434465"/>
            <wp:effectExtent l="0" t="0" r="13335" b="13335"/>
            <wp:docPr id="17" name="图片 17" descr="快闪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快闪店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BC1D" w14:textId="77777777" w:rsidR="00A500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6AE8497" w14:textId="77777777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本次传播线下线上整体贯穿“再来一Píng”主题与“够JÚ气 别KÈ气”的话题，打造趣味十足的年轻化事件营销，助力别克传播出圈，使再来一Píng，强势刷“屏”。</w:t>
      </w:r>
    </w:p>
    <w:p w14:paraId="20218FD1" w14:textId="77777777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8E5247">
        <w:rPr>
          <w:rFonts w:ascii="微软雅黑" w:eastAsia="微软雅黑" w:hAnsi="微软雅黑" w:hint="eastAsia"/>
          <w:b/>
          <w:bCs/>
          <w:sz w:val="21"/>
          <w:szCs w:val="21"/>
        </w:rPr>
        <w:t>第一阶段，</w:t>
      </w:r>
      <w:r>
        <w:rPr>
          <w:rFonts w:ascii="微软雅黑" w:eastAsia="微软雅黑" w:hAnsi="微软雅黑" w:hint="eastAsia"/>
          <w:sz w:val="21"/>
          <w:szCs w:val="21"/>
        </w:rPr>
        <w:t>在8月26日开始提出「够JÚ气 别KÈ气」的话题贯穿整个活动期间持续热度发酵，同时在8.26-8.30成都车展期间展出别克x北冰洋联名的涂装版威朗Pro以及推出展示联名款定制饮料，进行第一波宣传热度，车展期间通过媒体进行稿件发布，加强宣传力度。</w:t>
      </w:r>
    </w:p>
    <w:p w14:paraId="4296FB40" w14:textId="77777777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8E5247">
        <w:rPr>
          <w:rFonts w:ascii="微软雅黑" w:eastAsia="微软雅黑" w:hAnsi="微软雅黑" w:hint="eastAsia"/>
          <w:b/>
          <w:bCs/>
          <w:sz w:val="21"/>
          <w:szCs w:val="21"/>
        </w:rPr>
        <w:t>第二阶段，</w:t>
      </w:r>
      <w:r>
        <w:rPr>
          <w:rFonts w:ascii="微软雅黑" w:eastAsia="微软雅黑" w:hAnsi="微软雅黑" w:hint="eastAsia"/>
          <w:sz w:val="21"/>
          <w:szCs w:val="21"/>
        </w:rPr>
        <w:t>通过官方的账号在微信、抖音、微博平台在8.28进行联名官宣以及MV视频的推出，进行第二波热度宣传，通过MV视频传播打造记忆点，加强「够JÚ气 别KÈ气」的话题宣传热度。</w:t>
      </w:r>
    </w:p>
    <w:p w14:paraId="3531942D" w14:textId="26E0C01F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8E5247">
        <w:rPr>
          <w:rFonts w:ascii="微软雅黑" w:eastAsia="微软雅黑" w:hAnsi="微软雅黑" w:hint="eastAsia"/>
          <w:b/>
          <w:bCs/>
          <w:sz w:val="21"/>
          <w:szCs w:val="21"/>
        </w:rPr>
        <w:t>第三阶段</w:t>
      </w:r>
      <w:r w:rsidR="008E5247" w:rsidRPr="008E5247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10.20双联Píng竞速赛H5上线小程序，通过区域车展/经销商的自主活动加强联名活动在潜在用户中的影响。</w:t>
      </w:r>
    </w:p>
    <w:p w14:paraId="4A0E5897" w14:textId="17373C1B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8E5247">
        <w:rPr>
          <w:rFonts w:ascii="微软雅黑" w:eastAsia="微软雅黑" w:hAnsi="微软雅黑" w:hint="eastAsia"/>
          <w:b/>
          <w:bCs/>
          <w:sz w:val="21"/>
          <w:szCs w:val="21"/>
        </w:rPr>
        <w:t>第四阶段</w:t>
      </w:r>
      <w:r w:rsidR="008E5247" w:rsidRPr="008E5247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11.12-12.2线下「再来一Píng」快闪店通过直播形式开启活动，首先在官方微信微博账号中进行预热海报及视频发布，其次通过微信视频号与抖音平台进行直播活动，加大「够JÚ气 别KÈ气」话题宣传力度以及扩大线下快闪店的活动影响。</w:t>
      </w:r>
    </w:p>
    <w:p w14:paraId="23697552" w14:textId="77777777" w:rsidR="00A5001F" w:rsidRDefault="00000000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在活动期间通过各类媒体稿件宣传以及抖音与小红书平台的KOC探店形式推进「够JÚ气 别KÈ气」话题的传播热度，吸引更多用户进行活动参与，使别克x北冰洋跨界营销更加火热。</w:t>
      </w:r>
      <w:r>
        <w:rPr>
          <w:rFonts w:hint="eastAsia"/>
          <w:b/>
          <w:noProof/>
          <w:color w:val="0D0D0D" w:themeColor="text1" w:themeTint="F2"/>
          <w:szCs w:val="21"/>
        </w:rPr>
        <w:lastRenderedPageBreak/>
        <w:drawing>
          <wp:inline distT="0" distB="0" distL="114300" distR="114300" wp14:anchorId="0FAF5B12" wp14:editId="55458DF7">
            <wp:extent cx="5821045" cy="1833245"/>
            <wp:effectExtent l="0" t="0" r="635" b="10795"/>
            <wp:docPr id="18" name="图片 18" descr="C:\Users\zgs19\Desktop\报奖\未标题-6.jpg未标题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zgs19\Desktop\报奖\未标题-6.jpg未标题-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0D0D0D" w:themeColor="text1" w:themeTint="F2"/>
          <w:szCs w:val="21"/>
        </w:rPr>
        <w:drawing>
          <wp:inline distT="0" distB="0" distL="114300" distR="114300" wp14:anchorId="68642C8F" wp14:editId="660E5ACA">
            <wp:extent cx="5739130" cy="1406525"/>
            <wp:effectExtent l="0" t="0" r="6350" b="10795"/>
            <wp:docPr id="21" name="图片 21" descr="小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小程序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683D0" w14:textId="77777777" w:rsidR="00A500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DBB7ECF" w14:textId="77777777" w:rsidR="00A5001F" w:rsidRDefault="00000000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别克x北冰洋借全国关注的成都车展亮相联名，在成都车展探展的总结稿件上达到阅读量152万、互动量1万的关注度。</w:t>
      </w:r>
    </w:p>
    <w:p w14:paraId="3CFC802D" w14:textId="77777777" w:rsidR="00A5001F" w:rsidRDefault="00000000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而联名快闪店成功在北京潮流地标首钢园举办3场快闪活动，日均获取用户线索近100条，总曝光量达1748w+，总互动量达105w+；并且在联名直播中观看量155万、互动量39万，起到很好的引流效果。</w:t>
      </w:r>
    </w:p>
    <w:p w14:paraId="3DCE01EF" w14:textId="77777777" w:rsidR="00A5001F" w:rsidRDefault="00000000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KOC打卡快闪店的话题带动播放量1441万、互动量65万，吸引更多的年轻用户前去现场实地打卡，实现持续、广泛地吸引年轻群体的价值共鸣。</w:t>
      </w:r>
    </w:p>
    <w:p w14:paraId="232D0185" w14:textId="77777777" w:rsidR="00A5001F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cs="Times New Roman" w:hint="eastAsia"/>
          <w:b/>
          <w:noProof/>
          <w:color w:val="0D0D0D" w:themeColor="text1" w:themeTint="F2"/>
          <w:szCs w:val="21"/>
        </w:rPr>
        <w:lastRenderedPageBreak/>
        <w:drawing>
          <wp:inline distT="0" distB="0" distL="114300" distR="114300" wp14:anchorId="4FBDE65A" wp14:editId="433AE4E9">
            <wp:extent cx="5656580" cy="4179570"/>
            <wp:effectExtent l="0" t="0" r="12700" b="11430"/>
            <wp:docPr id="23" name="图片 23" descr="shu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huju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01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99323" w14:textId="77777777" w:rsidR="00306238" w:rsidRDefault="00306238">
      <w:r>
        <w:separator/>
      </w:r>
    </w:p>
  </w:endnote>
  <w:endnote w:type="continuationSeparator" w:id="0">
    <w:p w14:paraId="353C954B" w14:textId="77777777" w:rsidR="00306238" w:rsidRDefault="00306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6FE84" w14:textId="77777777" w:rsidR="00A5001F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03ED9A2" w14:textId="77777777" w:rsidR="00A5001F" w:rsidRDefault="00A5001F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23CEE" w14:textId="77777777" w:rsidR="00A5001F" w:rsidRDefault="00A5001F">
    <w:pPr>
      <w:pStyle w:val="a9"/>
      <w:framePr w:wrap="around" w:vAnchor="text" w:hAnchor="margin" w:xAlign="right" w:y="1"/>
      <w:rPr>
        <w:rStyle w:val="af2"/>
      </w:rPr>
    </w:pPr>
  </w:p>
  <w:p w14:paraId="3D78243E" w14:textId="77777777" w:rsidR="00A5001F" w:rsidRDefault="00A5001F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E2B97" w14:textId="77777777" w:rsidR="00A5001F" w:rsidRDefault="00A5001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7E0D7" w14:textId="77777777" w:rsidR="00306238" w:rsidRDefault="00306238">
      <w:r>
        <w:separator/>
      </w:r>
    </w:p>
  </w:footnote>
  <w:footnote w:type="continuationSeparator" w:id="0">
    <w:p w14:paraId="3B4BAF93" w14:textId="77777777" w:rsidR="00306238" w:rsidRDefault="00306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5C15F" w14:textId="77777777" w:rsidR="00A5001F" w:rsidRDefault="00A5001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A1CD1" w14:textId="77777777" w:rsidR="00A5001F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9155804" wp14:editId="62DE4B9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C3AA0" w14:textId="77777777" w:rsidR="00A5001F" w:rsidRDefault="00A5001F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g2YWRmZGU0MDUxMGY0NWQyMTNhNjJiOTc3NzFiMjI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4BE1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2C5A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0623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12B7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E5247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001F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1B01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2DB9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90A233D"/>
    <w:rsid w:val="3C3E1982"/>
    <w:rsid w:val="3F6D6150"/>
    <w:rsid w:val="3FB85A69"/>
    <w:rsid w:val="5F955499"/>
    <w:rsid w:val="66FC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493202"/>
  <w15:docId w15:val="{2EE92244-4109-447F-9E8B-430DE8DE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0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Unresolved Mention"/>
    <w:basedOn w:val="a0"/>
    <w:uiPriority w:val="99"/>
    <w:semiHidden/>
    <w:unhideWhenUsed/>
    <w:rsid w:val="00841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33083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303</Words>
  <Characters>1732</Characters>
  <Application>Microsoft Office Word</Application>
  <DocSecurity>0</DocSecurity>
  <Lines>14</Lines>
  <Paragraphs>4</Paragraphs>
  <ScaleCrop>false</ScaleCrop>
  <Company>WWW.YlmF.CoM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61</cp:revision>
  <cp:lastPrinted>2012-10-11T08:46:00Z</cp:lastPrinted>
  <dcterms:created xsi:type="dcterms:W3CDTF">2015-11-23T07:28:00Z</dcterms:created>
  <dcterms:modified xsi:type="dcterms:W3CDTF">2023-02-22T07:11:00Z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0D2CFDF4B4B0437FAF5DFE23435ED042</vt:lpwstr>
  </property>
</Properties>
</file>