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pStyle w:val="25"/>
        <w:shd w:val="clear" w:color="auto" w:fill="FFFFFF"/>
        <w:autoSpaceDN w:val="0"/>
        <w:spacing w:before="240" w:beforeLines="100" w:after="240" w:afterLines="100"/>
        <w:jc w:val="center"/>
        <w:textAlignment w:val="baseline"/>
        <w:rPr>
          <w:rFonts w:ascii="微软雅黑" w:hAnsi="微软雅黑" w:eastAsia="微软雅黑"/>
          <w:b/>
          <w:sz w:val="32"/>
          <w:szCs w:val="32"/>
        </w:rPr>
      </w:pPr>
      <w:r>
        <w:rPr>
          <w:rFonts w:hint="eastAsia" w:ascii="微软雅黑" w:hAnsi="微软雅黑" w:eastAsia="微软雅黑"/>
          <w:b/>
          <w:sz w:val="32"/>
          <w:szCs w:val="32"/>
        </w:rPr>
        <w:t>巴黎欧莱雅×超级</w:t>
      </w:r>
      <w:r>
        <w:rPr>
          <w:rFonts w:ascii="微软雅黑" w:hAnsi="微软雅黑" w:eastAsia="微软雅黑"/>
          <w:b/>
          <w:sz w:val="32"/>
          <w:szCs w:val="32"/>
        </w:rPr>
        <w:t>QQ</w:t>
      </w:r>
      <w:r>
        <w:rPr>
          <w:rFonts w:hint="eastAsia" w:ascii="微软雅黑" w:hAnsi="微软雅黑" w:eastAsia="微软雅黑"/>
          <w:b/>
          <w:sz w:val="32"/>
          <w:szCs w:val="32"/>
        </w:rPr>
        <w:t>秀</w:t>
      </w:r>
      <w:r>
        <w:rPr>
          <w:rFonts w:ascii="微软雅黑" w:hAnsi="微软雅黑" w:eastAsia="微软雅黑"/>
          <w:b/>
          <w:sz w:val="32"/>
          <w:szCs w:val="32"/>
        </w:rPr>
        <w:t>2023CNY</w:t>
      </w:r>
      <w:r>
        <w:rPr>
          <w:rFonts w:hint="eastAsia" w:ascii="微软雅黑" w:hAnsi="微软雅黑" w:eastAsia="微软雅黑"/>
          <w:b/>
          <w:sz w:val="32"/>
          <w:szCs w:val="32"/>
        </w:rPr>
        <w:t>合作</w:t>
      </w:r>
    </w:p>
    <w:p>
      <w:pPr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广 告 主</w:t>
      </w:r>
      <w:r>
        <w:rPr>
          <w:rFonts w:hint="eastAsia" w:ascii="微软雅黑" w:hAnsi="微软雅黑" w:eastAsia="微软雅黑"/>
          <w:sz w:val="21"/>
          <w:szCs w:val="21"/>
        </w:rPr>
        <w:t>：巴黎欧莱雅</w:t>
      </w:r>
    </w:p>
    <w:p>
      <w:pPr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所属行业</w:t>
      </w:r>
      <w:r>
        <w:rPr>
          <w:rFonts w:hint="eastAsia" w:ascii="微软雅黑" w:hAnsi="微软雅黑" w:eastAsia="微软雅黑"/>
          <w:sz w:val="21"/>
          <w:szCs w:val="21"/>
        </w:rPr>
        <w:t>：护肤彩妆</w:t>
      </w:r>
    </w:p>
    <w:p>
      <w:pPr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执行时间</w:t>
      </w:r>
      <w:r>
        <w:rPr>
          <w:rFonts w:hint="eastAsia" w:ascii="微软雅黑" w:hAnsi="微软雅黑" w:eastAsia="微软雅黑"/>
          <w:sz w:val="21"/>
          <w:szCs w:val="21"/>
        </w:rPr>
        <w:t>：20</w:t>
      </w:r>
      <w:r>
        <w:rPr>
          <w:rFonts w:ascii="微软雅黑" w:hAnsi="微软雅黑" w:eastAsia="微软雅黑"/>
          <w:sz w:val="21"/>
          <w:szCs w:val="21"/>
        </w:rPr>
        <w:t>22</w:t>
      </w:r>
      <w:r>
        <w:rPr>
          <w:rFonts w:hint="eastAsia" w:ascii="微软雅黑" w:hAnsi="微软雅黑" w:eastAsia="微软雅黑"/>
          <w:sz w:val="21"/>
          <w:szCs w:val="21"/>
        </w:rPr>
        <w:t>.</w:t>
      </w:r>
      <w:r>
        <w:rPr>
          <w:rFonts w:ascii="微软雅黑" w:hAnsi="微软雅黑" w:eastAsia="微软雅黑"/>
          <w:sz w:val="21"/>
          <w:szCs w:val="21"/>
        </w:rPr>
        <w:t>12</w:t>
      </w:r>
      <w:r>
        <w:rPr>
          <w:rFonts w:hint="eastAsia" w:ascii="微软雅黑" w:hAnsi="微软雅黑" w:eastAsia="微软雅黑"/>
          <w:sz w:val="21"/>
          <w:szCs w:val="21"/>
        </w:rPr>
        <w:t>.</w:t>
      </w:r>
      <w:r>
        <w:rPr>
          <w:rFonts w:ascii="微软雅黑" w:hAnsi="微软雅黑" w:eastAsia="微软雅黑"/>
          <w:sz w:val="21"/>
          <w:szCs w:val="21"/>
        </w:rPr>
        <w:t>26</w:t>
      </w:r>
      <w:r>
        <w:rPr>
          <w:rFonts w:hint="eastAsia" w:ascii="微软雅黑" w:hAnsi="微软雅黑" w:eastAsia="微软雅黑"/>
          <w:sz w:val="21"/>
          <w:szCs w:val="21"/>
        </w:rPr>
        <w:t>-</w:t>
      </w:r>
      <w:r>
        <w:rPr>
          <w:rFonts w:ascii="微软雅黑" w:hAnsi="微软雅黑" w:eastAsia="微软雅黑"/>
          <w:sz w:val="21"/>
          <w:szCs w:val="21"/>
        </w:rPr>
        <w:t>2023.02</w:t>
      </w:r>
      <w:r>
        <w:rPr>
          <w:rFonts w:hint="eastAsia" w:ascii="微软雅黑" w:hAnsi="微软雅黑" w:eastAsia="微软雅黑"/>
          <w:sz w:val="21"/>
          <w:szCs w:val="21"/>
        </w:rPr>
        <w:t>.</w:t>
      </w:r>
      <w:r>
        <w:rPr>
          <w:rFonts w:ascii="微软雅黑" w:hAnsi="微软雅黑" w:eastAsia="微软雅黑"/>
          <w:sz w:val="21"/>
          <w:szCs w:val="21"/>
        </w:rPr>
        <w:t>05</w:t>
      </w:r>
    </w:p>
    <w:p>
      <w:pPr>
        <w:spacing w:after="240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参选类别</w:t>
      </w:r>
      <w:r>
        <w:rPr>
          <w:rFonts w:hint="eastAsia" w:ascii="微软雅黑" w:hAnsi="微软雅黑" w:eastAsia="微软雅黑"/>
          <w:sz w:val="21"/>
          <w:szCs w:val="21"/>
        </w:rPr>
        <w:t>：</w:t>
      </w:r>
      <w:r>
        <w:rPr>
          <w:rFonts w:ascii="微软雅黑" w:hAnsi="微软雅黑" w:eastAsia="微软雅黑"/>
          <w:sz w:val="21"/>
          <w:szCs w:val="21"/>
        </w:rPr>
        <w:t>元宇宙营销类</w:t>
      </w:r>
    </w:p>
    <w:p>
      <w:pPr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C79E5B"/>
          <w:sz w:val="28"/>
        </w:rPr>
      </w:pPr>
      <w:r>
        <w:rPr>
          <w:rFonts w:hint="eastAsia" w:ascii="微软雅黑" w:hAnsi="微软雅黑" w:eastAsia="微软雅黑"/>
          <w:b/>
          <w:color w:val="C79E5B"/>
          <w:sz w:val="28"/>
        </w:rPr>
        <w:t>营销背景</w:t>
      </w:r>
    </w:p>
    <w:p>
      <w:pPr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ascii="微软雅黑" w:hAnsi="微软雅黑" w:eastAsia="微软雅黑"/>
          <w:sz w:val="21"/>
          <w:szCs w:val="21"/>
        </w:rPr>
        <w:t>近年来公众对元宇宙</w:t>
      </w:r>
      <w:r>
        <w:rPr>
          <w:rFonts w:hint="eastAsia" w:ascii="微软雅黑" w:hAnsi="微软雅黑" w:eastAsia="微软雅黑"/>
          <w:sz w:val="21"/>
          <w:szCs w:val="21"/>
        </w:rPr>
        <w:t>领域</w:t>
      </w:r>
      <w:r>
        <w:rPr>
          <w:rFonts w:ascii="微软雅黑" w:hAnsi="微软雅黑" w:eastAsia="微软雅黑"/>
          <w:sz w:val="21"/>
          <w:szCs w:val="21"/>
        </w:rPr>
        <w:t>的关注度及参与度持续提升，相关内容合作成为</w:t>
      </w:r>
      <w:r>
        <w:rPr>
          <w:rFonts w:hint="eastAsia" w:ascii="微软雅黑" w:hAnsi="微软雅黑" w:eastAsia="微软雅黑"/>
          <w:sz w:val="21"/>
          <w:szCs w:val="21"/>
        </w:rPr>
        <w:t>快消、美妆行业</w:t>
      </w:r>
      <w:r>
        <w:rPr>
          <w:rFonts w:ascii="微软雅黑" w:hAnsi="微软雅黑" w:eastAsia="微软雅黑"/>
          <w:sz w:val="21"/>
          <w:szCs w:val="21"/>
        </w:rPr>
        <w:t>的创新营销方向</w:t>
      </w:r>
      <w:r>
        <w:rPr>
          <w:rFonts w:hint="eastAsia" w:ascii="微软雅黑" w:hAnsi="微软雅黑" w:eastAsia="微软雅黑"/>
          <w:sz w:val="21"/>
          <w:szCs w:val="21"/>
        </w:rPr>
        <w:t>，巴黎</w:t>
      </w:r>
      <w:r>
        <w:rPr>
          <w:rFonts w:ascii="微软雅黑" w:hAnsi="微软雅黑" w:eastAsia="微软雅黑"/>
          <w:sz w:val="21"/>
          <w:szCs w:val="21"/>
        </w:rPr>
        <w:t>欧莱雅</w:t>
      </w:r>
      <w:r>
        <w:rPr>
          <w:rFonts w:hint="eastAsia" w:ascii="微软雅黑" w:hAnsi="微软雅黑" w:eastAsia="微软雅黑"/>
          <w:sz w:val="21"/>
          <w:szCs w:val="21"/>
        </w:rPr>
        <w:t>与腾讯</w:t>
      </w:r>
      <w:r>
        <w:rPr>
          <w:rFonts w:ascii="微软雅黑" w:hAnsi="微软雅黑" w:eastAsia="微软雅黑"/>
          <w:sz w:val="21"/>
          <w:szCs w:val="21"/>
        </w:rPr>
        <w:t>均在关注及布局相关领域</w:t>
      </w:r>
      <w:r>
        <w:rPr>
          <w:rFonts w:hint="eastAsia" w:ascii="微软雅黑" w:hAnsi="微软雅黑" w:eastAsia="微软雅黑"/>
          <w:sz w:val="21"/>
          <w:szCs w:val="21"/>
        </w:rPr>
        <w:t>，腾讯</w:t>
      </w:r>
      <w:r>
        <w:rPr>
          <w:rFonts w:ascii="微软雅黑" w:hAnsi="微软雅黑" w:eastAsia="微软雅黑"/>
          <w:sz w:val="21"/>
          <w:szCs w:val="21"/>
        </w:rPr>
        <w:t>QQ及超级QQ秀作为专业的社交平台</w:t>
      </w:r>
      <w:r>
        <w:rPr>
          <w:rFonts w:hint="eastAsia" w:ascii="微软雅黑" w:hAnsi="微软雅黑" w:eastAsia="微软雅黑"/>
          <w:sz w:val="21"/>
          <w:szCs w:val="21"/>
        </w:rPr>
        <w:t>也</w:t>
      </w:r>
      <w:r>
        <w:rPr>
          <w:rFonts w:ascii="微软雅黑" w:hAnsi="微软雅黑" w:eastAsia="微软雅黑"/>
          <w:sz w:val="21"/>
          <w:szCs w:val="21"/>
        </w:rPr>
        <w:t>具备元宇宙类型合作的项目经验及资源优势</w:t>
      </w:r>
      <w:r>
        <w:rPr>
          <w:rFonts w:hint="eastAsia" w:ascii="微软雅黑" w:hAnsi="微软雅黑" w:eastAsia="微软雅黑"/>
          <w:sz w:val="21"/>
          <w:szCs w:val="21"/>
        </w:rPr>
        <w:t>。巴黎欧莱雅在2</w:t>
      </w:r>
      <w:r>
        <w:rPr>
          <w:rFonts w:ascii="微软雅黑" w:hAnsi="微软雅黑" w:eastAsia="微软雅黑"/>
          <w:sz w:val="21"/>
          <w:szCs w:val="21"/>
        </w:rPr>
        <w:t>023兔年春节</w:t>
      </w:r>
      <w:r>
        <w:rPr>
          <w:rFonts w:hint="eastAsia" w:ascii="微软雅黑" w:hAnsi="微软雅黑" w:eastAsia="微软雅黑"/>
          <w:sz w:val="21"/>
          <w:szCs w:val="21"/>
        </w:rPr>
        <w:t>计划推广</w:t>
      </w:r>
      <w:r>
        <w:rPr>
          <w:rFonts w:ascii="微软雅黑" w:hAnsi="微软雅黑" w:eastAsia="微软雅黑"/>
          <w:sz w:val="21"/>
          <w:szCs w:val="21"/>
        </w:rPr>
        <w:t>限量版产品</w:t>
      </w:r>
      <w:r>
        <w:rPr>
          <w:rFonts w:hint="eastAsia" w:ascii="微软雅黑" w:hAnsi="微软雅黑" w:eastAsia="微软雅黑"/>
          <w:sz w:val="21"/>
          <w:szCs w:val="21"/>
        </w:rPr>
        <w:t>，并</w:t>
      </w:r>
      <w:r>
        <w:rPr>
          <w:rFonts w:ascii="微软雅黑" w:hAnsi="微软雅黑" w:eastAsia="微软雅黑"/>
          <w:sz w:val="21"/>
          <w:szCs w:val="21"/>
        </w:rPr>
        <w:t>与虚拟公仔IP“ROBB</w:t>
      </w:r>
      <w:r>
        <w:rPr>
          <w:rFonts w:hint="eastAsia" w:ascii="微软雅黑" w:hAnsi="微软雅黑" w:eastAsia="微软雅黑"/>
          <w:sz w:val="21"/>
          <w:szCs w:val="21"/>
        </w:rPr>
        <w:t>i</w:t>
      </w:r>
      <w:r>
        <w:rPr>
          <w:rFonts w:ascii="微软雅黑" w:hAnsi="微软雅黑" w:eastAsia="微软雅黑"/>
          <w:sz w:val="21"/>
          <w:szCs w:val="21"/>
        </w:rPr>
        <w:t>”联名</w:t>
      </w:r>
      <w:r>
        <w:rPr>
          <w:rFonts w:hint="eastAsia" w:ascii="微软雅黑" w:hAnsi="微软雅黑" w:eastAsia="微软雅黑"/>
          <w:sz w:val="21"/>
          <w:szCs w:val="21"/>
        </w:rPr>
        <w:t>打造“欧礼兔”，</w:t>
      </w:r>
      <w:r>
        <w:rPr>
          <w:rFonts w:ascii="微软雅黑" w:hAnsi="微软雅黑" w:eastAsia="微软雅黑"/>
          <w:sz w:val="21"/>
          <w:szCs w:val="21"/>
        </w:rPr>
        <w:t>同时希望触达年轻客群</w:t>
      </w:r>
      <w:r>
        <w:rPr>
          <w:rFonts w:hint="eastAsia" w:ascii="微软雅黑" w:hAnsi="微软雅黑" w:eastAsia="微软雅黑"/>
          <w:sz w:val="21"/>
          <w:szCs w:val="21"/>
        </w:rPr>
        <w:t>并吸引深度互动、提升品牌知誉度</w:t>
      </w:r>
      <w:r>
        <w:rPr>
          <w:rFonts w:ascii="微软雅黑" w:hAnsi="微软雅黑" w:eastAsia="微软雅黑"/>
          <w:sz w:val="21"/>
          <w:szCs w:val="21"/>
        </w:rPr>
        <w:t>，超级QQ秀平台调性及用户群体与</w:t>
      </w:r>
      <w:r>
        <w:rPr>
          <w:rFonts w:hint="eastAsia" w:ascii="微软雅黑" w:hAnsi="微软雅黑" w:eastAsia="微软雅黑"/>
          <w:sz w:val="21"/>
          <w:szCs w:val="21"/>
        </w:rPr>
        <w:t>巴黎欧莱雅</w:t>
      </w:r>
      <w:r>
        <w:rPr>
          <w:rFonts w:ascii="微软雅黑" w:hAnsi="微软雅黑" w:eastAsia="微软雅黑"/>
          <w:sz w:val="21"/>
          <w:szCs w:val="21"/>
        </w:rPr>
        <w:t>推广需求契合</w:t>
      </w:r>
      <w:r>
        <w:rPr>
          <w:rFonts w:hint="eastAsia" w:ascii="微软雅黑" w:hAnsi="微软雅黑" w:eastAsia="微软雅黑"/>
          <w:sz w:val="21"/>
          <w:szCs w:val="21"/>
        </w:rPr>
        <w:t>，双方达成合作。</w:t>
      </w:r>
    </w:p>
    <w:p>
      <w:pPr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C79E5B"/>
          <w:sz w:val="28"/>
        </w:rPr>
      </w:pPr>
      <w:r>
        <w:rPr>
          <w:rFonts w:hint="eastAsia" w:ascii="微软雅黑" w:hAnsi="微软雅黑" w:eastAsia="微软雅黑"/>
          <w:b/>
          <w:color w:val="C79E5B"/>
          <w:sz w:val="28"/>
        </w:rPr>
        <w:t>营销目标</w:t>
      </w:r>
    </w:p>
    <w:p>
      <w:pPr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在</w:t>
      </w:r>
      <w:r>
        <w:rPr>
          <w:rFonts w:ascii="微软雅黑" w:hAnsi="微软雅黑" w:eastAsia="微软雅黑"/>
          <w:sz w:val="21"/>
          <w:szCs w:val="21"/>
        </w:rPr>
        <w:t>CNY</w:t>
      </w:r>
      <w:r>
        <w:rPr>
          <w:rFonts w:hint="eastAsia" w:ascii="微软雅黑" w:hAnsi="微软雅黑" w:eastAsia="微软雅黑"/>
          <w:sz w:val="21"/>
          <w:szCs w:val="21"/>
        </w:rPr>
        <w:t>通过创新营销玩法</w:t>
      </w:r>
      <w:r>
        <w:rPr>
          <w:rFonts w:ascii="微软雅黑" w:hAnsi="微软雅黑" w:eastAsia="微软雅黑"/>
          <w:sz w:val="21"/>
          <w:szCs w:val="21"/>
        </w:rPr>
        <w:t>触达年轻客群</w:t>
      </w:r>
      <w:r>
        <w:rPr>
          <w:rFonts w:hint="eastAsia" w:ascii="微软雅黑" w:hAnsi="微软雅黑" w:eastAsia="微软雅黑"/>
          <w:sz w:val="21"/>
          <w:szCs w:val="21"/>
        </w:rPr>
        <w:t>并吸引深度互动，提升巴黎欧莱雅品牌知誉度及年轻客群兴趣度。</w:t>
      </w:r>
    </w:p>
    <w:p>
      <w:pPr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C79E5B"/>
          <w:sz w:val="28"/>
        </w:rPr>
      </w:pPr>
      <w:r>
        <w:rPr>
          <w:rFonts w:hint="eastAsia" w:ascii="微软雅黑" w:hAnsi="微软雅黑" w:eastAsia="微软雅黑"/>
          <w:b/>
          <w:color w:val="C79E5B"/>
          <w:sz w:val="28"/>
        </w:rPr>
        <w:t>策略与创意</w:t>
      </w:r>
    </w:p>
    <w:p>
      <w:pPr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ascii="微软雅黑" w:hAnsi="微软雅黑" w:eastAsia="微软雅黑"/>
          <w:sz w:val="21"/>
          <w:szCs w:val="21"/>
        </w:rPr>
        <w:t>从「QQ秀」升级而来的「超级QQ秀」，不仅为用户提供虚拟人物化身，而且还承载了丰富的社交互动功能，如今已成为连接年轻人现实生活与虚拟世界的载体。</w:t>
      </w:r>
      <w:r>
        <w:rPr>
          <w:rFonts w:hint="eastAsia" w:ascii="微软雅黑" w:hAnsi="微软雅黑" w:eastAsia="微软雅黑"/>
          <w:sz w:val="21"/>
          <w:szCs w:val="21"/>
        </w:rPr>
        <w:t>2</w:t>
      </w:r>
      <w:r>
        <w:rPr>
          <w:rFonts w:ascii="微软雅黑" w:hAnsi="微软雅黑" w:eastAsia="微软雅黑"/>
          <w:sz w:val="21"/>
          <w:szCs w:val="21"/>
        </w:rPr>
        <w:t>023新春，</w:t>
      </w:r>
      <w:r>
        <w:rPr>
          <w:rFonts w:hint="eastAsia" w:ascii="微软雅黑" w:hAnsi="微软雅黑" w:eastAsia="微软雅黑"/>
          <w:sz w:val="21"/>
          <w:szCs w:val="21"/>
        </w:rPr>
        <w:t>巴黎欧莱雅与</w:t>
      </w:r>
      <w:r>
        <w:rPr>
          <w:rFonts w:ascii="微软雅黑" w:hAnsi="微软雅黑" w:eastAsia="微软雅黑"/>
          <w:sz w:val="21"/>
          <w:szCs w:val="21"/>
        </w:rPr>
        <w:t>超级QQ秀携手，借势当下最火的兔年热点IP，定制「欧莱雅美礼空间站」主题小窝、家具和欧礼兔（巴黎欧莱雅和潮玩ROBBi的新年联名款）主题配饰，更有新年主题抽卡活动，共同构筑起「一起美上天」的创意互动场景。</w:t>
      </w:r>
    </w:p>
    <w:p>
      <w:pPr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ascii="微软雅黑" w:hAnsi="微软雅黑" w:eastAsia="微软雅黑"/>
          <w:sz w:val="21"/>
          <w:szCs w:val="21"/>
        </w:rPr>
        <w:t>此外，点击NPC欧礼兔，用户可以跳转京东</w:t>
      </w:r>
      <w:r>
        <w:rPr>
          <w:rFonts w:hint="eastAsia" w:ascii="微软雅黑" w:hAnsi="微软雅黑" w:eastAsia="微软雅黑"/>
          <w:sz w:val="21"/>
          <w:szCs w:val="21"/>
        </w:rPr>
        <w:t>电商平台巴黎欧莱雅</w:t>
      </w:r>
      <w:r>
        <w:rPr>
          <w:rFonts w:ascii="微软雅黑" w:hAnsi="微软雅黑" w:eastAsia="微软雅黑"/>
          <w:sz w:val="21"/>
          <w:szCs w:val="21"/>
        </w:rPr>
        <w:t>礼盒购买页面，将新年礼盒同款带回家。这一设计进一步打破了虚拟与现实世界的隔阂，让用户有机会将虚拟世界的身份认同转变为实实在在的生活用品，快速将喜好转化为行动，玩转完整链路体验。对其他美妆、快消品牌而言，这一链路的打通无疑具有借鉴意义，电商平台的打通，可以帮助品牌更好地实现“品效结合”。</w:t>
      </w:r>
    </w:p>
    <w:p>
      <w:pPr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C79E5B"/>
          <w:sz w:val="28"/>
        </w:rPr>
      </w:pPr>
      <w:r>
        <w:rPr>
          <w:rFonts w:hint="eastAsia" w:ascii="微软雅黑" w:hAnsi="微软雅黑" w:eastAsia="微软雅黑"/>
          <w:b/>
          <w:color w:val="C79E5B"/>
          <w:sz w:val="28"/>
        </w:rPr>
        <w:t>执行过程/媒体表现</w:t>
      </w:r>
    </w:p>
    <w:p>
      <w:pPr>
        <w:snapToGrid w:val="0"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bCs/>
          <w:sz w:val="21"/>
          <w:szCs w:val="21"/>
        </w:rPr>
      </w:pPr>
      <w:r>
        <w:rPr>
          <w:rFonts w:hint="eastAsia" w:ascii="微软雅黑" w:hAnsi="微软雅黑" w:eastAsia="微软雅黑"/>
          <w:b/>
          <w:bCs/>
          <w:sz w:val="21"/>
          <w:szCs w:val="21"/>
        </w:rPr>
        <w:t>1、全面上线预热期：超级QQ秀</w:t>
      </w:r>
      <w:r>
        <w:rPr>
          <w:rFonts w:hint="eastAsia" w:ascii="微软雅黑" w:hAnsi="微软雅黑" w:eastAsia="微软雅黑"/>
          <w:b/>
          <w:bCs/>
          <w:sz w:val="21"/>
          <w:szCs w:val="21"/>
          <w:lang w:val="en-US" w:eastAsia="zh-CN"/>
        </w:rPr>
        <w:t>×</w:t>
      </w:r>
      <w:r>
        <w:rPr>
          <w:rFonts w:hint="eastAsia" w:ascii="微软雅黑" w:hAnsi="微软雅黑" w:eastAsia="微软雅黑"/>
          <w:b/>
          <w:bCs/>
          <w:sz w:val="21"/>
          <w:szCs w:val="21"/>
        </w:rPr>
        <w:t>品牌定制短视频闪亮登场 多触点全面联动打响声势</w:t>
      </w:r>
    </w:p>
    <w:p>
      <w:pPr>
        <w:snapToGrid w:val="0"/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sz w:val="21"/>
          <w:szCs w:val="21"/>
          <w:lang w:eastAsia="zh-CN"/>
        </w:rPr>
      </w:pPr>
      <w:r>
        <w:rPr>
          <w:rFonts w:hint="eastAsia" w:ascii="微软雅黑" w:hAnsi="微软雅黑" w:eastAsia="微软雅黑"/>
          <w:sz w:val="21"/>
          <w:szCs w:val="21"/>
        </w:rPr>
        <w:t>抓住联名产品的I</w:t>
      </w:r>
      <w:r>
        <w:rPr>
          <w:rFonts w:ascii="微软雅黑" w:hAnsi="微软雅黑" w:eastAsia="微软雅黑"/>
          <w:sz w:val="21"/>
          <w:szCs w:val="21"/>
        </w:rPr>
        <w:t>P</w:t>
      </w:r>
      <w:r>
        <w:rPr>
          <w:rFonts w:hint="eastAsia" w:ascii="微软雅黑" w:hAnsi="微软雅黑" w:eastAsia="微软雅黑"/>
          <w:sz w:val="21"/>
          <w:szCs w:val="21"/>
        </w:rPr>
        <w:t>特点，制作品牌专属宣传视频，借用超级QQ秀官方阵地、腾讯系微博官号、视频号、小世界等Z时代集聚的社交触点广泛传播</w:t>
      </w:r>
      <w:r>
        <w:rPr>
          <w:rFonts w:hint="eastAsia" w:ascii="微软雅黑" w:hAnsi="微软雅黑" w:eastAsia="微软雅黑"/>
          <w:sz w:val="21"/>
          <w:szCs w:val="21"/>
          <w:lang w:eastAsia="zh-CN"/>
        </w:rPr>
        <w:t>。</w:t>
      </w:r>
    </w:p>
    <w:p>
      <w:pPr>
        <w:snapToGrid w:val="0"/>
        <w:spacing w:before="100" w:beforeAutospacing="1" w:after="100" w:afterAutospacing="1"/>
        <w:jc w:val="center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ascii="微软雅黑" w:hAnsi="微软雅黑" w:eastAsia="微软雅黑"/>
          <w:sz w:val="21"/>
          <w:szCs w:val="21"/>
        </w:rPr>
        <w:drawing>
          <wp:inline distT="0" distB="0" distL="0" distR="0">
            <wp:extent cx="4956175" cy="2750185"/>
            <wp:effectExtent l="0" t="0" r="0" b="5715"/>
            <wp:docPr id="7" name="图片 7" descr="图片包含 人, 小, 桌子, 小孩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图片包含 人, 小, 桌子, 小孩&#10;&#10;描述已自动生成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05382" cy="2777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 w:val="0"/>
        <w:spacing w:before="100" w:beforeAutospacing="1" w:after="100" w:afterAutospacing="1"/>
        <w:jc w:val="center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ascii="微软雅黑" w:hAnsi="微软雅黑" w:eastAsia="微软雅黑"/>
          <w:sz w:val="21"/>
          <w:szCs w:val="21"/>
        </w:rPr>
        <w:drawing>
          <wp:inline distT="0" distB="0" distL="0" distR="0">
            <wp:extent cx="4902200" cy="4622800"/>
            <wp:effectExtent l="0" t="0" r="0" b="0"/>
            <wp:docPr id="4" name="图片 4" descr="图形用户界面, 网站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形用户界面, 网站&#10;&#10;描述已自动生成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02200" cy="462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 w:val="0"/>
        <w:spacing w:before="100" w:beforeAutospacing="1" w:after="100" w:afterAutospacing="1"/>
        <w:jc w:val="center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Cs w:val="21"/>
        </w:rPr>
        <w:drawing>
          <wp:inline distT="0" distB="0" distL="0" distR="0">
            <wp:extent cx="5720715" cy="2174875"/>
            <wp:effectExtent l="0" t="0" r="0" b="0"/>
            <wp:docPr id="12" name="图片 12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17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 w:val="0"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bCs/>
          <w:sz w:val="21"/>
          <w:szCs w:val="21"/>
        </w:rPr>
      </w:pPr>
      <w:r>
        <w:rPr>
          <w:rFonts w:hint="eastAsia" w:ascii="微软雅黑" w:hAnsi="微软雅黑" w:eastAsia="微软雅黑"/>
          <w:b/>
          <w:bCs/>
          <w:sz w:val="21"/>
          <w:szCs w:val="21"/>
        </w:rPr>
        <w:t>2、互动内容引爆期：一起美上天成为Z世代CNY必选活动 触发千万级用户每日与欧莱雅互动</w:t>
      </w:r>
    </w:p>
    <w:p>
      <w:pPr>
        <w:snapToGrid w:val="0"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抓住Z时代用户游戏心理，将品牌元素深度渗透从玩家形象→互动动作→小屋空间设计之中，</w:t>
      </w:r>
      <w:r>
        <w:rPr>
          <w:rFonts w:ascii="微软雅黑" w:hAnsi="微软雅黑" w:eastAsia="微软雅黑"/>
          <w:sz w:val="21"/>
          <w:szCs w:val="21"/>
        </w:rPr>
        <w:t>定制了多款欧礼兔元素主题配饰</w:t>
      </w:r>
      <w:r>
        <w:rPr>
          <w:rFonts w:hint="eastAsia" w:ascii="微软雅黑" w:hAnsi="微软雅黑" w:eastAsia="微软雅黑"/>
          <w:sz w:val="21"/>
          <w:szCs w:val="21"/>
        </w:rPr>
        <w:t>&amp;家具，通过限定的虚拟资产让用户成为品牌行走的“代言人”。</w:t>
      </w:r>
    </w:p>
    <w:p>
      <w:pPr>
        <w:snapToGrid w:val="0"/>
        <w:spacing w:before="100" w:beforeAutospacing="1" w:after="100" w:afterAutospacing="1"/>
        <w:jc w:val="center"/>
      </w:pPr>
      <w:r>
        <w:fldChar w:fldCharType="begin"/>
      </w:r>
      <w:r>
        <w:instrText xml:space="preserve"> INCLUDEPICTURE "D:\\var\\folders\\9f\\450mrcyj5xv_znz5m7w7c1180000gn\\T\\com.microsoft.Word\\WebArchiveCopyPasteTempFiles\\640?wx_fmt=jpeg&amp;wxfrom=5&amp;wx_lazy=1&amp;wx_co=1" \* MERGEFORMAT </w:instrText>
      </w:r>
      <w:r>
        <w:fldChar w:fldCharType="separate"/>
      </w:r>
      <w:r>
        <w:drawing>
          <wp:inline distT="0" distB="0" distL="0" distR="0">
            <wp:extent cx="3663315" cy="2660650"/>
            <wp:effectExtent l="0" t="0" r="0" b="0"/>
            <wp:docPr id="14" name="图片 14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图片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29413" cy="2708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>
      <w:pPr>
        <w:snapToGrid w:val="0"/>
        <w:spacing w:before="100" w:beforeAutospacing="1" w:after="100" w:afterAutospacing="1"/>
        <w:rPr>
          <w:rFonts w:hint="eastAsia"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构建品牌新次元空间，通过统一阵地实现用户的集中化互动和品牌内容传导，最大化利用I</w:t>
      </w:r>
      <w:r>
        <w:rPr>
          <w:rFonts w:ascii="微软雅黑" w:hAnsi="微软雅黑" w:eastAsia="微软雅黑"/>
          <w:sz w:val="21"/>
          <w:szCs w:val="21"/>
        </w:rPr>
        <w:t>P</w:t>
      </w:r>
      <w:r>
        <w:rPr>
          <w:rFonts w:hint="eastAsia" w:ascii="微软雅黑" w:hAnsi="微软雅黑" w:eastAsia="微软雅黑"/>
          <w:sz w:val="21"/>
          <w:szCs w:val="21"/>
        </w:rPr>
        <w:t>形象点缀空间元素，加剧用户互动热情，同时关联平台电商生意，</w:t>
      </w:r>
      <w:r>
        <w:rPr>
          <w:rFonts w:ascii="微软雅黑" w:hAnsi="微软雅黑" w:eastAsia="微软雅黑"/>
          <w:sz w:val="21"/>
          <w:szCs w:val="21"/>
        </w:rPr>
        <w:t>打破了虚拟与现实世界的隔阂，让用户有机会将虚拟世界的身份认同转变为实实在在的生活用品，快速将喜好转化为行动，玩转完整链路体验</w:t>
      </w:r>
      <w:r>
        <w:rPr>
          <w:rFonts w:hint="eastAsia" w:ascii="微软雅黑" w:hAnsi="微软雅黑" w:eastAsia="微软雅黑"/>
          <w:sz w:val="21"/>
          <w:szCs w:val="21"/>
        </w:rPr>
        <w:t>。</w:t>
      </w:r>
    </w:p>
    <w:p>
      <w:pPr>
        <w:snapToGrid w:val="0"/>
        <w:spacing w:before="100" w:beforeAutospacing="1" w:after="100" w:afterAutospacing="1"/>
        <w:jc w:val="center"/>
        <w:rPr>
          <w:rFonts w:hint="eastAsia" w:ascii="微软雅黑" w:hAnsi="微软雅黑" w:eastAsia="微软雅黑"/>
          <w:sz w:val="21"/>
          <w:szCs w:val="21"/>
          <w:lang w:eastAsia="zh-CN"/>
        </w:rPr>
      </w:pPr>
      <w:r>
        <w:rPr>
          <w:rFonts w:hint="eastAsia" w:ascii="微软雅黑" w:hAnsi="微软雅黑" w:eastAsia="微软雅黑"/>
          <w:sz w:val="21"/>
          <w:szCs w:val="21"/>
          <w:lang w:eastAsia="zh-CN"/>
        </w:rPr>
        <w:drawing>
          <wp:inline distT="0" distB="0" distL="114300" distR="114300">
            <wp:extent cx="2540000" cy="5492750"/>
            <wp:effectExtent l="0" t="0" r="0" b="6350"/>
            <wp:docPr id="1" name="图片 1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片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40000" cy="549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 w:val="0"/>
        <w:spacing w:before="100" w:beforeAutospacing="1" w:after="100" w:afterAutospacing="1"/>
        <w:jc w:val="center"/>
      </w:pPr>
      <w:r>
        <w:rPr>
          <w:rFonts w:ascii="微软雅黑" w:hAnsi="微软雅黑" w:eastAsia="微软雅黑"/>
          <w:szCs w:val="21"/>
        </w:rPr>
        <w:drawing>
          <wp:inline distT="0" distB="0" distL="0" distR="0">
            <wp:extent cx="5720715" cy="3649980"/>
            <wp:effectExtent l="0" t="0" r="0" b="0"/>
            <wp:docPr id="5" name="图片 5" descr="图片包含 桌子, 灯光, 电路, 女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图片包含 桌子, 灯光, 电路, 女人&#10;&#10;描述已自动生成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64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/>
          <w:szCs w:val="21"/>
        </w:rPr>
        <w:drawing>
          <wp:inline distT="0" distB="0" distL="0" distR="0">
            <wp:extent cx="5720715" cy="2590800"/>
            <wp:effectExtent l="0" t="0" r="0" b="0"/>
            <wp:docPr id="10" name="图片 10" descr="电脑游戏画面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电脑游戏画面&#10;&#10;中度可信度描述已自动生成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 w:val="0"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游戏式任务设计，为品牌周期性内的持续曝光打下坚实基础，</w:t>
      </w:r>
      <w:r>
        <w:rPr>
          <w:rFonts w:ascii="微软雅黑" w:hAnsi="微软雅黑" w:eastAsia="微软雅黑"/>
          <w:sz w:val="21"/>
          <w:szCs w:val="21"/>
        </w:rPr>
        <w:t>用户每天只需完成“签到、进入品牌小窝、分享活动页”中任意一项任务，即可获得一张抽奖卡；每日完成全部任务，当天可参与1次“日常抽奖”；集齐5张抽奖卡，还可参与抽取最终大奖。通过这样的每日任务机制，巴黎欧莱雅在新春到来前的黄金时段，巧妙地持续锁定年轻用户注意力，让用户主动把打卡变成一种习惯，潜移默化加深品牌记忆。</w:t>
      </w:r>
    </w:p>
    <w:p>
      <w:pPr>
        <w:snapToGrid w:val="0"/>
        <w:spacing w:before="100" w:beforeAutospacing="1" w:after="100" w:afterAutospacing="1"/>
        <w:jc w:val="center"/>
      </w:pPr>
      <w:bookmarkStart w:id="0" w:name="_GoBack"/>
      <w:bookmarkEnd w:id="0"/>
      <w:r>
        <w:rPr>
          <w:rFonts w:hint="eastAsia" w:ascii="微软雅黑" w:hAnsi="微软雅黑" w:eastAsia="微软雅黑"/>
          <w:szCs w:val="21"/>
        </w:rPr>
        <w:drawing>
          <wp:inline distT="0" distB="0" distL="0" distR="0">
            <wp:extent cx="5720715" cy="4616450"/>
            <wp:effectExtent l="0" t="0" r="0" b="0"/>
            <wp:docPr id="11" name="图片 11" descr="图形用户界面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图形用户界面&#10;&#10;描述已自动生成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461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 w:val="0"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bCs/>
          <w:sz w:val="21"/>
          <w:szCs w:val="21"/>
        </w:rPr>
      </w:pPr>
      <w:r>
        <w:rPr>
          <w:rFonts w:hint="eastAsia" w:ascii="微软雅黑" w:hAnsi="微软雅黑" w:eastAsia="微软雅黑"/>
          <w:b/>
          <w:bCs/>
          <w:sz w:val="21"/>
          <w:szCs w:val="21"/>
        </w:rPr>
        <w:t>3、活动热度持续期：搭车新春不眠岛蓄热长尾曝光</w:t>
      </w:r>
    </w:p>
    <w:p>
      <w:pPr>
        <w:snapToGrid w:val="0"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借春节超级QQ秀平台活动之风，将品牌的战场持续扩大，从品牌定制小窝延伸至新春小岛，在在线用户高峰期，赚取足够眼球。</w:t>
      </w:r>
    </w:p>
    <w:p>
      <w:pPr>
        <w:snapToGrid w:val="0"/>
        <w:spacing w:before="100" w:beforeAutospacing="1" w:after="100" w:afterAutospacing="1"/>
        <w:textAlignment w:val="baseline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drawing>
          <wp:inline distT="0" distB="0" distL="0" distR="0">
            <wp:extent cx="5720715" cy="2278380"/>
            <wp:effectExtent l="0" t="0" r="0" b="0"/>
            <wp:docPr id="17" name="图片 17" descr="电脑屏幕的照片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电脑屏幕的照片&#10;&#10;中度可信度描述已自动生成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278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 w:val="0"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C79E5B"/>
          <w:sz w:val="28"/>
        </w:rPr>
      </w:pPr>
      <w:r>
        <w:rPr>
          <w:rFonts w:hint="eastAsia" w:ascii="微软雅黑" w:hAnsi="微软雅黑" w:eastAsia="微软雅黑"/>
          <w:b/>
          <w:color w:val="C79E5B"/>
          <w:sz w:val="28"/>
        </w:rPr>
        <w:t>营销效果与市场反馈</w:t>
      </w:r>
    </w:p>
    <w:p>
      <w:pPr>
        <w:pStyle w:val="24"/>
        <w:numPr>
          <w:ilvl w:val="0"/>
          <w:numId w:val="1"/>
        </w:numPr>
        <w:snapToGrid w:val="0"/>
        <w:spacing w:before="100" w:beforeAutospacing="1" w:after="100" w:afterAutospacing="1"/>
        <w:ind w:firstLine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 xml:space="preserve">项目累计总曝光 </w:t>
      </w:r>
      <w:r>
        <w:rPr>
          <w:rFonts w:ascii="微软雅黑" w:hAnsi="微软雅黑" w:eastAsia="微软雅黑"/>
          <w:szCs w:val="21"/>
        </w:rPr>
        <w:t>58</w:t>
      </w:r>
      <w:r>
        <w:rPr>
          <w:rFonts w:hint="eastAsia" w:ascii="微软雅黑" w:hAnsi="微软雅黑" w:eastAsia="微软雅黑"/>
          <w:szCs w:val="21"/>
        </w:rPr>
        <w:t>亿+次，上亿多人次畅游品牌打造的虚拟空间；</w:t>
      </w:r>
    </w:p>
    <w:p>
      <w:pPr>
        <w:pStyle w:val="24"/>
        <w:numPr>
          <w:ilvl w:val="0"/>
          <w:numId w:val="1"/>
        </w:numPr>
        <w:snapToGrid w:val="0"/>
        <w:spacing w:before="100" w:beforeAutospacing="1" w:after="100" w:afterAutospacing="1"/>
        <w:ind w:firstLine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累计7</w:t>
      </w:r>
      <w:r>
        <w:rPr>
          <w:rFonts w:ascii="微软雅黑" w:hAnsi="微软雅黑" w:eastAsia="微软雅黑"/>
          <w:szCs w:val="21"/>
        </w:rPr>
        <w:t>227</w:t>
      </w:r>
      <w:r>
        <w:rPr>
          <w:rFonts w:hint="eastAsia" w:ascii="微软雅黑" w:hAnsi="微软雅黑" w:eastAsia="微软雅黑"/>
          <w:szCs w:val="21"/>
        </w:rPr>
        <w:t>万+人次与欧莱雅美礼空间站欧礼兔</w:t>
      </w:r>
      <w:r>
        <w:rPr>
          <w:rFonts w:ascii="微软雅黑" w:hAnsi="微软雅黑" w:eastAsia="微软雅黑"/>
          <w:szCs w:val="21"/>
        </w:rPr>
        <w:t>NPC</w:t>
      </w:r>
      <w:r>
        <w:rPr>
          <w:rFonts w:hint="eastAsia" w:ascii="微软雅黑" w:hAnsi="微软雅黑" w:eastAsia="微软雅黑"/>
          <w:szCs w:val="21"/>
        </w:rPr>
        <w:t>对话互动；</w:t>
      </w:r>
    </w:p>
    <w:p>
      <w:pPr>
        <w:pStyle w:val="24"/>
        <w:numPr>
          <w:ilvl w:val="0"/>
          <w:numId w:val="1"/>
        </w:numPr>
        <w:snapToGrid w:val="0"/>
        <w:spacing w:before="100" w:beforeAutospacing="1" w:after="100" w:afterAutospacing="1"/>
        <w:ind w:firstLine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累计1</w:t>
      </w:r>
      <w:r>
        <w:rPr>
          <w:rFonts w:ascii="微软雅黑" w:hAnsi="微软雅黑" w:eastAsia="微软雅黑"/>
          <w:szCs w:val="21"/>
        </w:rPr>
        <w:t>400</w:t>
      </w:r>
      <w:r>
        <w:rPr>
          <w:rFonts w:hint="eastAsia" w:ascii="微软雅黑" w:hAnsi="微软雅黑" w:eastAsia="微软雅黑"/>
          <w:szCs w:val="21"/>
        </w:rPr>
        <w:t>万+人次获取品牌定制家具，</w:t>
      </w:r>
      <w:r>
        <w:rPr>
          <w:rFonts w:ascii="微软雅黑" w:hAnsi="微软雅黑" w:eastAsia="微软雅黑"/>
          <w:szCs w:val="21"/>
        </w:rPr>
        <w:t>家具成为裂变曝光的种子进入千万个用户小窝</w:t>
      </w:r>
      <w:r>
        <w:rPr>
          <w:rFonts w:hint="eastAsia" w:ascii="微软雅黑" w:hAnsi="微软雅黑" w:eastAsia="微软雅黑"/>
          <w:szCs w:val="21"/>
        </w:rPr>
        <w:t>，巴黎</w:t>
      </w:r>
      <w:r>
        <w:rPr>
          <w:rFonts w:ascii="微软雅黑" w:hAnsi="微软雅黑" w:eastAsia="微软雅黑"/>
          <w:szCs w:val="21"/>
        </w:rPr>
        <w:t>欧莱雅以全新姿态留存虚拟</w:t>
      </w:r>
      <w:r>
        <w:rPr>
          <w:rFonts w:hint="eastAsia" w:ascii="微软雅黑" w:hAnsi="微软雅黑" w:eastAsia="微软雅黑"/>
          <w:szCs w:val="21"/>
        </w:rPr>
        <w:t>空间；</w:t>
      </w:r>
    </w:p>
    <w:p>
      <w:pPr>
        <w:pStyle w:val="24"/>
        <w:numPr>
          <w:ilvl w:val="0"/>
          <w:numId w:val="1"/>
        </w:numPr>
        <w:snapToGrid w:val="0"/>
        <w:spacing w:before="100" w:beforeAutospacing="1" w:after="100" w:afterAutospacing="1"/>
        <w:ind w:firstLine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活动</w:t>
      </w:r>
      <w:r>
        <w:rPr>
          <w:rFonts w:ascii="微软雅黑" w:hAnsi="微软雅黑" w:eastAsia="微软雅黑"/>
          <w:szCs w:val="21"/>
        </w:rPr>
        <w:t>H5</w:t>
      </w:r>
      <w:r>
        <w:rPr>
          <w:rFonts w:hint="eastAsia" w:ascii="微软雅黑" w:hAnsi="微软雅黑" w:eastAsia="微软雅黑"/>
          <w:szCs w:val="21"/>
        </w:rPr>
        <w:t>访问</w:t>
      </w:r>
      <w:r>
        <w:rPr>
          <w:rFonts w:ascii="微软雅黑" w:hAnsi="微软雅黑" w:eastAsia="微软雅黑"/>
          <w:szCs w:val="21"/>
        </w:rPr>
        <w:t>PV</w:t>
      </w:r>
      <w:r>
        <w:rPr>
          <w:rFonts w:hint="eastAsia" w:ascii="微软雅黑" w:hAnsi="微软雅黑" w:eastAsia="微软雅黑"/>
          <w:szCs w:val="21"/>
        </w:rPr>
        <w:t>达1</w:t>
      </w:r>
      <w:r>
        <w:rPr>
          <w:rFonts w:ascii="微软雅黑" w:hAnsi="微软雅黑" w:eastAsia="微软雅黑"/>
          <w:szCs w:val="21"/>
        </w:rPr>
        <w:t>.6</w:t>
      </w:r>
      <w:r>
        <w:rPr>
          <w:rFonts w:hint="eastAsia" w:ascii="微软雅黑" w:hAnsi="微软雅黑" w:eastAsia="微软雅黑"/>
          <w:szCs w:val="21"/>
        </w:rPr>
        <w:t>亿+。</w:t>
      </w:r>
    </w:p>
    <w:sectPr>
      <w:headerReference r:id="rId3" w:type="default"/>
      <w:footerReference r:id="rId4" w:type="default"/>
      <w:footerReference r:id="rId5" w:type="even"/>
      <w:pgSz w:w="11906" w:h="16838"/>
      <w:pgMar w:top="720" w:right="1196" w:bottom="624" w:left="1701" w:header="468" w:footer="907" w:gutter="0"/>
      <w:pgNumType w:start="1"/>
      <w:cols w:space="720" w:num="1"/>
      <w:docGrid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framePr w:wrap="around" w:vAnchor="text" w:hAnchor="margin" w:xAlign="right" w:y="1"/>
      <w:rPr>
        <w:rStyle w:val="16"/>
      </w:rPr>
    </w:pPr>
  </w:p>
  <w:p>
    <w:pPr>
      <w:pStyle w:val="7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framePr w:wrap="around" w:vAnchor="text" w:hAnchor="margin" w:xAlign="right" w:y="1"/>
      <w:rPr>
        <w:rStyle w:val="16"/>
      </w:rPr>
    </w:pPr>
    <w:r>
      <w:fldChar w:fldCharType="begin"/>
    </w:r>
    <w:r>
      <w:rPr>
        <w:rStyle w:val="16"/>
      </w:rPr>
      <w:instrText xml:space="preserve">PAGE  </w:instrText>
    </w:r>
    <w:r>
      <w:fldChar w:fldCharType="separate"/>
    </w:r>
    <w:r>
      <w:rPr>
        <w:rStyle w:val="16"/>
      </w:rPr>
      <w:t>1</w:t>
    </w:r>
    <w:r>
      <w:fldChar w:fldCharType="end"/>
    </w:r>
  </w:p>
  <w:p>
    <w:pPr>
      <w:pStyle w:val="7"/>
      <w:ind w:right="36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jc w:val="both"/>
      <w:rPr>
        <w:rFonts w:ascii="微软雅黑" w:hAnsi="微软雅黑" w:eastAsia="微软雅黑"/>
        <w:color w:val="333333"/>
        <w:sz w:val="21"/>
      </w:rPr>
    </w:pPr>
    <w:r>
      <w:rPr>
        <w:b/>
        <w:color w:val="333333"/>
        <w:sz w:val="21"/>
      </w:rPr>
      <w:drawing>
        <wp:inline distT="0" distB="0" distL="0" distR="0">
          <wp:extent cx="776605" cy="377825"/>
          <wp:effectExtent l="0" t="0" r="0" b="0"/>
          <wp:docPr id="9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</w:t>
    </w:r>
    <w:r>
      <w:rPr>
        <w:rFonts w:hint="eastAsia" w:ascii="微软雅黑" w:hAnsi="微软雅黑" w:eastAsia="微软雅黑"/>
        <w:color w:val="333333"/>
        <w:sz w:val="21"/>
      </w:rPr>
      <w:t>第</w:t>
    </w:r>
    <w:r>
      <w:rPr>
        <w:rFonts w:ascii="微软雅黑" w:hAnsi="微软雅黑" w:eastAsia="微软雅黑"/>
        <w:color w:val="333333"/>
        <w:sz w:val="21"/>
      </w:rPr>
      <w:t>14</w:t>
    </w:r>
    <w:r>
      <w:rPr>
        <w:rFonts w:hint="eastAsia" w:ascii="微软雅黑" w:hAnsi="微软雅黑" w:eastAsia="微软雅黑"/>
        <w:color w:val="333333"/>
        <w:sz w:val="21"/>
      </w:rPr>
      <w:t>届金鼠标数字营销大赛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7A56673"/>
    <w:multiLevelType w:val="multilevel"/>
    <w:tmpl w:val="07A56673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DE5ZTc2N2FiNzYxOGE0NzQ2MWNmMjg3N2EyZmIzMDEifQ=="/>
  </w:docVars>
  <w:rsids>
    <w:rsidRoot w:val="00172A27"/>
    <w:rsid w:val="00000FCE"/>
    <w:rsid w:val="00020E7A"/>
    <w:rsid w:val="00024497"/>
    <w:rsid w:val="00030A60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B4701"/>
    <w:rsid w:val="000C5FBB"/>
    <w:rsid w:val="000D05FE"/>
    <w:rsid w:val="000D6C80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31BD"/>
    <w:rsid w:val="001265C9"/>
    <w:rsid w:val="00131A61"/>
    <w:rsid w:val="00132BB8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D3F3B"/>
    <w:rsid w:val="001E12DA"/>
    <w:rsid w:val="001E1BDF"/>
    <w:rsid w:val="001E38F1"/>
    <w:rsid w:val="001E6133"/>
    <w:rsid w:val="001F17F1"/>
    <w:rsid w:val="001F36FC"/>
    <w:rsid w:val="001F4270"/>
    <w:rsid w:val="001F720A"/>
    <w:rsid w:val="0020719F"/>
    <w:rsid w:val="0020726A"/>
    <w:rsid w:val="002208F6"/>
    <w:rsid w:val="0022117C"/>
    <w:rsid w:val="0023746F"/>
    <w:rsid w:val="002405B6"/>
    <w:rsid w:val="00241AD6"/>
    <w:rsid w:val="00250580"/>
    <w:rsid w:val="00252186"/>
    <w:rsid w:val="00255B1F"/>
    <w:rsid w:val="00262A77"/>
    <w:rsid w:val="002707E7"/>
    <w:rsid w:val="00270EF0"/>
    <w:rsid w:val="002712AF"/>
    <w:rsid w:val="00274F8A"/>
    <w:rsid w:val="0027634C"/>
    <w:rsid w:val="002826E2"/>
    <w:rsid w:val="00290500"/>
    <w:rsid w:val="002A004E"/>
    <w:rsid w:val="002A44B4"/>
    <w:rsid w:val="002B0CDA"/>
    <w:rsid w:val="002B1FC2"/>
    <w:rsid w:val="002C2690"/>
    <w:rsid w:val="002E7E41"/>
    <w:rsid w:val="002F1E0A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44800"/>
    <w:rsid w:val="003548BE"/>
    <w:rsid w:val="00361FEC"/>
    <w:rsid w:val="00362043"/>
    <w:rsid w:val="00365D41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E61DD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009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875E8"/>
    <w:rsid w:val="00491A67"/>
    <w:rsid w:val="00492C50"/>
    <w:rsid w:val="004A4904"/>
    <w:rsid w:val="004C539E"/>
    <w:rsid w:val="004D3EF9"/>
    <w:rsid w:val="004D53A9"/>
    <w:rsid w:val="004E459E"/>
    <w:rsid w:val="004E704D"/>
    <w:rsid w:val="004F1372"/>
    <w:rsid w:val="004F1399"/>
    <w:rsid w:val="004F7523"/>
    <w:rsid w:val="005002D8"/>
    <w:rsid w:val="00504C23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608"/>
    <w:rsid w:val="00582F7D"/>
    <w:rsid w:val="005A10EC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121A"/>
    <w:rsid w:val="005E3D19"/>
    <w:rsid w:val="005E4E84"/>
    <w:rsid w:val="005F5C93"/>
    <w:rsid w:val="006053F3"/>
    <w:rsid w:val="006126FE"/>
    <w:rsid w:val="00613CE9"/>
    <w:rsid w:val="00614FF6"/>
    <w:rsid w:val="00634308"/>
    <w:rsid w:val="0063785D"/>
    <w:rsid w:val="00642F29"/>
    <w:rsid w:val="006448CA"/>
    <w:rsid w:val="00644994"/>
    <w:rsid w:val="00650F34"/>
    <w:rsid w:val="0065606B"/>
    <w:rsid w:val="0065759C"/>
    <w:rsid w:val="00661A8D"/>
    <w:rsid w:val="00666526"/>
    <w:rsid w:val="006707FE"/>
    <w:rsid w:val="0067611E"/>
    <w:rsid w:val="006853C8"/>
    <w:rsid w:val="00693C3F"/>
    <w:rsid w:val="006955F5"/>
    <w:rsid w:val="006A24F1"/>
    <w:rsid w:val="006B5BB6"/>
    <w:rsid w:val="006B781B"/>
    <w:rsid w:val="006C16A7"/>
    <w:rsid w:val="006C1733"/>
    <w:rsid w:val="006C65A1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0C71"/>
    <w:rsid w:val="0072102A"/>
    <w:rsid w:val="007270CB"/>
    <w:rsid w:val="0072725D"/>
    <w:rsid w:val="0073004D"/>
    <w:rsid w:val="0073428A"/>
    <w:rsid w:val="007365E4"/>
    <w:rsid w:val="00753753"/>
    <w:rsid w:val="007538EE"/>
    <w:rsid w:val="00764220"/>
    <w:rsid w:val="00776F56"/>
    <w:rsid w:val="0079238C"/>
    <w:rsid w:val="00793F18"/>
    <w:rsid w:val="00795109"/>
    <w:rsid w:val="007A0451"/>
    <w:rsid w:val="007A4E3A"/>
    <w:rsid w:val="007B2D27"/>
    <w:rsid w:val="007C0828"/>
    <w:rsid w:val="007C3F70"/>
    <w:rsid w:val="007C4C7A"/>
    <w:rsid w:val="007D5451"/>
    <w:rsid w:val="007D76B6"/>
    <w:rsid w:val="007E2B9D"/>
    <w:rsid w:val="007E56E0"/>
    <w:rsid w:val="007F6422"/>
    <w:rsid w:val="00803D13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425B3"/>
    <w:rsid w:val="00847B24"/>
    <w:rsid w:val="0085738D"/>
    <w:rsid w:val="008612D4"/>
    <w:rsid w:val="008674D7"/>
    <w:rsid w:val="00875DF6"/>
    <w:rsid w:val="00880022"/>
    <w:rsid w:val="008825EF"/>
    <w:rsid w:val="008875A4"/>
    <w:rsid w:val="008B2200"/>
    <w:rsid w:val="008B689B"/>
    <w:rsid w:val="008C2693"/>
    <w:rsid w:val="008D07E5"/>
    <w:rsid w:val="008F2CAF"/>
    <w:rsid w:val="009004E1"/>
    <w:rsid w:val="00902EA3"/>
    <w:rsid w:val="00903505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433A"/>
    <w:rsid w:val="00976708"/>
    <w:rsid w:val="0098226A"/>
    <w:rsid w:val="00982350"/>
    <w:rsid w:val="009823A9"/>
    <w:rsid w:val="00983853"/>
    <w:rsid w:val="009849FB"/>
    <w:rsid w:val="00993AA4"/>
    <w:rsid w:val="0099692F"/>
    <w:rsid w:val="009B0E2C"/>
    <w:rsid w:val="009B796F"/>
    <w:rsid w:val="009C6E37"/>
    <w:rsid w:val="009D5BD0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2F7C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D5FDE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72B34"/>
    <w:rsid w:val="00B93BD6"/>
    <w:rsid w:val="00B93E3B"/>
    <w:rsid w:val="00BA0329"/>
    <w:rsid w:val="00BA4FD4"/>
    <w:rsid w:val="00BA7554"/>
    <w:rsid w:val="00BB0E07"/>
    <w:rsid w:val="00BB1A99"/>
    <w:rsid w:val="00BB7C80"/>
    <w:rsid w:val="00BC1804"/>
    <w:rsid w:val="00BC331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40E03"/>
    <w:rsid w:val="00C465B5"/>
    <w:rsid w:val="00C5015C"/>
    <w:rsid w:val="00C516C8"/>
    <w:rsid w:val="00C57FBA"/>
    <w:rsid w:val="00C61492"/>
    <w:rsid w:val="00C657FA"/>
    <w:rsid w:val="00C67E7C"/>
    <w:rsid w:val="00C73B42"/>
    <w:rsid w:val="00C93159"/>
    <w:rsid w:val="00C96025"/>
    <w:rsid w:val="00CA397B"/>
    <w:rsid w:val="00CA426C"/>
    <w:rsid w:val="00CB2251"/>
    <w:rsid w:val="00CB2938"/>
    <w:rsid w:val="00CB29C6"/>
    <w:rsid w:val="00CB44F0"/>
    <w:rsid w:val="00CB462E"/>
    <w:rsid w:val="00CB4A74"/>
    <w:rsid w:val="00CC24FE"/>
    <w:rsid w:val="00CC70FB"/>
    <w:rsid w:val="00CD121A"/>
    <w:rsid w:val="00CE55AC"/>
    <w:rsid w:val="00CF1E09"/>
    <w:rsid w:val="00D1108E"/>
    <w:rsid w:val="00D13BC3"/>
    <w:rsid w:val="00D14F03"/>
    <w:rsid w:val="00D409BB"/>
    <w:rsid w:val="00D411C0"/>
    <w:rsid w:val="00D5007A"/>
    <w:rsid w:val="00D5598B"/>
    <w:rsid w:val="00D56BD0"/>
    <w:rsid w:val="00D63679"/>
    <w:rsid w:val="00D6725D"/>
    <w:rsid w:val="00D71A2E"/>
    <w:rsid w:val="00D731FC"/>
    <w:rsid w:val="00D80973"/>
    <w:rsid w:val="00DB3708"/>
    <w:rsid w:val="00DB4C4A"/>
    <w:rsid w:val="00DC32E7"/>
    <w:rsid w:val="00DC397E"/>
    <w:rsid w:val="00DD56E4"/>
    <w:rsid w:val="00DE76F1"/>
    <w:rsid w:val="00E004F9"/>
    <w:rsid w:val="00E21168"/>
    <w:rsid w:val="00E23547"/>
    <w:rsid w:val="00E26E63"/>
    <w:rsid w:val="00E336C0"/>
    <w:rsid w:val="00E40C58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1E46"/>
    <w:rsid w:val="00EC320D"/>
    <w:rsid w:val="00EC4DA4"/>
    <w:rsid w:val="00EC6379"/>
    <w:rsid w:val="00ED507C"/>
    <w:rsid w:val="00EE38CD"/>
    <w:rsid w:val="00EE4F13"/>
    <w:rsid w:val="00EE6D2C"/>
    <w:rsid w:val="00EE72D7"/>
    <w:rsid w:val="00F0134F"/>
    <w:rsid w:val="00F22C99"/>
    <w:rsid w:val="00F2318A"/>
    <w:rsid w:val="00F35569"/>
    <w:rsid w:val="00F3618F"/>
    <w:rsid w:val="00F4008B"/>
    <w:rsid w:val="00F41E61"/>
    <w:rsid w:val="00F4269A"/>
    <w:rsid w:val="00F46368"/>
    <w:rsid w:val="00F503C8"/>
    <w:rsid w:val="00F56689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498"/>
    <w:rsid w:val="00FD7838"/>
    <w:rsid w:val="00FD7E55"/>
    <w:rsid w:val="00FE1360"/>
    <w:rsid w:val="00FE497C"/>
    <w:rsid w:val="00FE70B2"/>
    <w:rsid w:val="00FE7398"/>
    <w:rsid w:val="00FE7A55"/>
    <w:rsid w:val="1E103896"/>
    <w:rsid w:val="39B61D35"/>
    <w:rsid w:val="4FF97997"/>
    <w:rsid w:val="61D174DD"/>
    <w:rsid w:val="70565F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nhideWhenUsed="0" w:uiPriority="0" w:semiHidden="0" w:name="header"/>
    <w:lsdException w:qFormat="1"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99" w:name="Document Map"/>
    <w:lsdException w:qFormat="1" w:unhideWhenUsed="0" w:uiPriority="0" w:semiHidden="0" w:name="Plain Text"/>
    <w:lsdException w:uiPriority="99" w:name="E-mail Signature"/>
    <w:lsdException w:qFormat="1" w:unhideWhenUsed="0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宋体" w:hAnsi="宋体" w:eastAsia="宋体" w:cs="宋体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14">
    <w:name w:val="Default Paragraph Font"/>
    <w:semiHidden/>
    <w:unhideWhenUsed/>
    <w:qFormat/>
    <w:uiPriority w:val="1"/>
  </w:style>
  <w:style w:type="table" w:default="1" w:styleId="1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annotation text"/>
    <w:basedOn w:val="1"/>
    <w:link w:val="29"/>
    <w:semiHidden/>
    <w:unhideWhenUsed/>
    <w:qFormat/>
    <w:uiPriority w:val="99"/>
  </w:style>
  <w:style w:type="paragraph" w:styleId="4">
    <w:name w:val="Body Text Indent"/>
    <w:basedOn w:val="1"/>
    <w:qFormat/>
    <w:uiPriority w:val="0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5">
    <w:name w:val="Plain Text"/>
    <w:basedOn w:val="1"/>
    <w:qFormat/>
    <w:uiPriority w:val="0"/>
    <w:rPr>
      <w:rFonts w:ascii="Arial" w:hAnsi="Arial" w:cs="Times New Roman"/>
      <w:sz w:val="18"/>
      <w:szCs w:val="20"/>
    </w:rPr>
  </w:style>
  <w:style w:type="paragraph" w:styleId="6">
    <w:name w:val="Balloon Text"/>
    <w:basedOn w:val="1"/>
    <w:link w:val="28"/>
    <w:semiHidden/>
    <w:unhideWhenUsed/>
    <w:qFormat/>
    <w:uiPriority w:val="99"/>
    <w:rPr>
      <w:sz w:val="18"/>
      <w:szCs w:val="18"/>
    </w:rPr>
  </w:style>
  <w:style w:type="paragraph" w:styleId="7">
    <w:name w:val="footer"/>
    <w:basedOn w:val="1"/>
    <w:qFormat/>
    <w:uiPriority w:val="0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8">
    <w:name w:val="header"/>
    <w:basedOn w:val="1"/>
    <w:qFormat/>
    <w:uiPriority w:val="0"/>
    <w:pPr>
      <w:widowControl w:val="0"/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styleId="9">
    <w:name w:val="Normal (Web)"/>
    <w:basedOn w:val="1"/>
    <w:qFormat/>
    <w:uiPriority w:val="99"/>
    <w:pPr>
      <w:spacing w:before="100" w:beforeAutospacing="1" w:after="100" w:afterAutospacing="1"/>
    </w:pPr>
    <w:rPr>
      <w:rFonts w:cs="Times New Roman"/>
      <w:szCs w:val="20"/>
    </w:rPr>
  </w:style>
  <w:style w:type="paragraph" w:styleId="10">
    <w:name w:val="Title"/>
    <w:basedOn w:val="1"/>
    <w:link w:val="20"/>
    <w:qFormat/>
    <w:uiPriority w:val="0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11">
    <w:name w:val="annotation subject"/>
    <w:basedOn w:val="3"/>
    <w:next w:val="3"/>
    <w:link w:val="30"/>
    <w:semiHidden/>
    <w:unhideWhenUsed/>
    <w:qFormat/>
    <w:uiPriority w:val="99"/>
    <w:rPr>
      <w:b/>
      <w:bCs/>
    </w:rPr>
  </w:style>
  <w:style w:type="table" w:styleId="13">
    <w:name w:val="Table Grid"/>
    <w:basedOn w:val="12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styleId="15">
    <w:name w:val="Strong"/>
    <w:basedOn w:val="14"/>
    <w:qFormat/>
    <w:uiPriority w:val="0"/>
    <w:rPr>
      <w:b/>
    </w:rPr>
  </w:style>
  <w:style w:type="character" w:styleId="16">
    <w:name w:val="page number"/>
    <w:basedOn w:val="14"/>
    <w:qFormat/>
    <w:uiPriority w:val="0"/>
  </w:style>
  <w:style w:type="character" w:styleId="17">
    <w:name w:val="Emphasis"/>
    <w:basedOn w:val="14"/>
    <w:qFormat/>
    <w:uiPriority w:val="0"/>
    <w:rPr>
      <w:i/>
    </w:rPr>
  </w:style>
  <w:style w:type="character" w:styleId="18">
    <w:name w:val="Hyperlink"/>
    <w:basedOn w:val="14"/>
    <w:qFormat/>
    <w:uiPriority w:val="0"/>
    <w:rPr>
      <w:color w:val="0000FF"/>
      <w:u w:val="single"/>
    </w:rPr>
  </w:style>
  <w:style w:type="character" w:styleId="19">
    <w:name w:val="annotation reference"/>
    <w:basedOn w:val="14"/>
    <w:semiHidden/>
    <w:unhideWhenUsed/>
    <w:qFormat/>
    <w:uiPriority w:val="99"/>
    <w:rPr>
      <w:sz w:val="21"/>
      <w:szCs w:val="21"/>
    </w:rPr>
  </w:style>
  <w:style w:type="character" w:customStyle="1" w:styleId="20">
    <w:name w:val="标题 字符"/>
    <w:basedOn w:val="14"/>
    <w:link w:val="10"/>
    <w:qFormat/>
    <w:uiPriority w:val="0"/>
    <w:rPr>
      <w:b/>
      <w:sz w:val="28"/>
      <w:lang w:eastAsia="en-US"/>
    </w:rPr>
  </w:style>
  <w:style w:type="character" w:customStyle="1" w:styleId="21">
    <w:name w:val="bottom1"/>
    <w:basedOn w:val="14"/>
    <w:qFormat/>
    <w:uiPriority w:val="0"/>
    <w:rPr>
      <w:color w:val="6E6E6E"/>
    </w:rPr>
  </w:style>
  <w:style w:type="character" w:customStyle="1" w:styleId="22">
    <w:name w:val="apple-converted-space"/>
    <w:basedOn w:val="14"/>
    <w:qFormat/>
    <w:uiPriority w:val="0"/>
  </w:style>
  <w:style w:type="character" w:customStyle="1" w:styleId="23">
    <w:name w:val="apple-style-span"/>
    <w:basedOn w:val="14"/>
    <w:qFormat/>
    <w:uiPriority w:val="0"/>
  </w:style>
  <w:style w:type="paragraph" w:styleId="24">
    <w:name w:val="List Paragraph"/>
    <w:basedOn w:val="1"/>
    <w:qFormat/>
    <w:uiPriority w:val="34"/>
    <w:pPr>
      <w:widowControl w:val="0"/>
      <w:ind w:firstLine="420" w:firstLineChars="200"/>
      <w:jc w:val="both"/>
    </w:pPr>
    <w:rPr>
      <w:rFonts w:ascii="Calibri" w:hAnsi="Calibri" w:cs="Times New Roman"/>
      <w:kern w:val="2"/>
      <w:sz w:val="21"/>
      <w:szCs w:val="20"/>
    </w:rPr>
  </w:style>
  <w:style w:type="paragraph" w:customStyle="1" w:styleId="25">
    <w:name w:val="p0"/>
    <w:basedOn w:val="1"/>
    <w:qFormat/>
    <w:uiPriority w:val="0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26">
    <w:name w:val="css"/>
    <w:basedOn w:val="1"/>
    <w:qFormat/>
    <w:uiPriority w:val="0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customStyle="1" w:styleId="27">
    <w:name w:val="清單段落"/>
    <w:basedOn w:val="1"/>
    <w:qFormat/>
    <w:uiPriority w:val="0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character" w:customStyle="1" w:styleId="28">
    <w:name w:val="批注框文本 字符"/>
    <w:basedOn w:val="14"/>
    <w:link w:val="6"/>
    <w:semiHidden/>
    <w:qFormat/>
    <w:uiPriority w:val="99"/>
    <w:rPr>
      <w:kern w:val="2"/>
      <w:sz w:val="18"/>
      <w:szCs w:val="18"/>
    </w:rPr>
  </w:style>
  <w:style w:type="character" w:customStyle="1" w:styleId="29">
    <w:name w:val="批注文字 字符"/>
    <w:basedOn w:val="14"/>
    <w:link w:val="3"/>
    <w:semiHidden/>
    <w:qFormat/>
    <w:uiPriority w:val="99"/>
    <w:rPr>
      <w:rFonts w:ascii="宋体" w:hAnsi="宋体" w:cs="宋体"/>
      <w:sz w:val="24"/>
      <w:szCs w:val="24"/>
    </w:rPr>
  </w:style>
  <w:style w:type="character" w:customStyle="1" w:styleId="30">
    <w:name w:val="批注主题 字符"/>
    <w:basedOn w:val="29"/>
    <w:link w:val="11"/>
    <w:semiHidden/>
    <w:qFormat/>
    <w:uiPriority w:val="99"/>
    <w:rPr>
      <w:rFonts w:ascii="宋体" w:hAnsi="宋体" w:cs="宋体"/>
      <w:b/>
      <w:bCs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theme" Target="theme/theme1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customXml" Target="../customXml/item1.xml"/><Relationship Id="rId16" Type="http://schemas.openxmlformats.org/officeDocument/2006/relationships/numbering" Target="numbering.xml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80E7F048-142E-8F4B-9DD3-B0DEAF64784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WWW.YlmF.CoM</Company>
  <Pages>7</Pages>
  <Words>1412</Words>
  <Characters>1485</Characters>
  <Lines>14</Lines>
  <Paragraphs>4</Paragraphs>
  <TotalTime>15</TotalTime>
  <ScaleCrop>false</ScaleCrop>
  <LinksUpToDate>false</LinksUpToDate>
  <CharactersWithSpaces>1490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2023-02-20T03:46:00Z</dcterms:created>
  <dc:creator>雨林木风</dc:creator>
  <cp:lastModifiedBy>123</cp:lastModifiedBy>
  <cp:lastPrinted>2012-10-11T08:46:00Z</cp:lastPrinted>
  <dcterms:modified xsi:type="dcterms:W3CDTF">2023-02-24T01:41:18Z</dcterms:modified>
  <dc:title>No</dc:title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FE2A7E03B42248E69F04BE8A4B626B9D</vt:lpwstr>
  </property>
</Properties>
</file>